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C630ED" w14:textId="70724DC8" w:rsidR="0026136C" w:rsidRDefault="0026136C" w:rsidP="000D3AEA">
      <w:pPr>
        <w:spacing w:after="0"/>
        <w:jc w:val="center"/>
        <w:rPr>
          <w:b/>
          <w:sz w:val="32"/>
        </w:rPr>
      </w:pPr>
      <w:r w:rsidRPr="0016409C">
        <w:rPr>
          <w:b/>
          <w:sz w:val="32"/>
        </w:rPr>
        <w:t>Cour</w:t>
      </w:r>
      <w:bookmarkStart w:id="0" w:name="_GoBack"/>
      <w:bookmarkEnd w:id="0"/>
      <w:r w:rsidRPr="0016409C">
        <w:rPr>
          <w:b/>
          <w:sz w:val="32"/>
        </w:rPr>
        <w:t>se Syllabus</w:t>
      </w:r>
      <w:r w:rsidR="006836C5">
        <w:rPr>
          <w:b/>
          <w:sz w:val="32"/>
        </w:rPr>
        <w:t xml:space="preserve"> </w:t>
      </w:r>
      <w:r w:rsidR="003A0751">
        <w:rPr>
          <w:b/>
          <w:sz w:val="32"/>
        </w:rPr>
        <w:t>–</w:t>
      </w:r>
      <w:r w:rsidR="0016409C">
        <w:rPr>
          <w:b/>
          <w:sz w:val="32"/>
        </w:rPr>
        <w:t xml:space="preserve"> </w:t>
      </w:r>
      <w:r w:rsidR="00E701C9">
        <w:rPr>
          <w:b/>
          <w:sz w:val="32"/>
        </w:rPr>
        <w:t>Corporate and Financial Strategy</w:t>
      </w:r>
      <w:r w:rsidR="006F6B76" w:rsidRPr="0016409C">
        <w:rPr>
          <w:b/>
          <w:sz w:val="32"/>
        </w:rPr>
        <w:t xml:space="preserve"> FRE-6</w:t>
      </w:r>
      <w:r w:rsidR="00E701C9">
        <w:rPr>
          <w:b/>
          <w:sz w:val="32"/>
        </w:rPr>
        <w:t>361</w:t>
      </w:r>
    </w:p>
    <w:p w14:paraId="034FBDAE" w14:textId="6203DBF7" w:rsidR="00FF475B" w:rsidRDefault="00FF475B" w:rsidP="000D3AEA">
      <w:pPr>
        <w:spacing w:after="0"/>
        <w:jc w:val="center"/>
      </w:pPr>
      <w:r>
        <w:t>David C. Shimko</w:t>
      </w:r>
      <w:r w:rsidR="005A5331">
        <w:t>, Industry Full Professor of Financial Engineering</w:t>
      </w:r>
    </w:p>
    <w:p w14:paraId="686423CB" w14:textId="6583639F" w:rsidR="003A0751" w:rsidRDefault="005A5331" w:rsidP="000D3AEA">
      <w:pPr>
        <w:spacing w:after="0"/>
        <w:jc w:val="center"/>
      </w:pPr>
      <w:r>
        <w:t>Fall 201</w:t>
      </w:r>
      <w:r w:rsidR="008A4081">
        <w:t>8</w:t>
      </w:r>
    </w:p>
    <w:p w14:paraId="696669E7" w14:textId="77777777" w:rsidR="005A5331" w:rsidRDefault="005A5331" w:rsidP="000D3AEA">
      <w:pPr>
        <w:spacing w:after="0"/>
        <w:jc w:val="cente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3780"/>
      </w:tblGrid>
      <w:tr w:rsidR="005A5331" w14:paraId="0F8CBEFF" w14:textId="77777777" w:rsidTr="005A5331">
        <w:trPr>
          <w:jc w:val="center"/>
        </w:trPr>
        <w:tc>
          <w:tcPr>
            <w:tcW w:w="2605" w:type="dxa"/>
          </w:tcPr>
          <w:p w14:paraId="134EB3F2" w14:textId="5AEC9AB1" w:rsidR="005A5331" w:rsidRDefault="005A5331" w:rsidP="005A5331">
            <w:r>
              <w:t>Instructor email:</w:t>
            </w:r>
          </w:p>
        </w:tc>
        <w:tc>
          <w:tcPr>
            <w:tcW w:w="3780" w:type="dxa"/>
          </w:tcPr>
          <w:p w14:paraId="4D59F805" w14:textId="0C1FD88D" w:rsidR="005A5331" w:rsidRDefault="0012625B" w:rsidP="005A5331">
            <w:hyperlink r:id="rId5" w:history="1">
              <w:r w:rsidR="005A5331" w:rsidRPr="008932AE">
                <w:rPr>
                  <w:rStyle w:val="Hyperlink"/>
                </w:rPr>
                <w:t>david.shimko@nyu.edu</w:t>
              </w:r>
            </w:hyperlink>
          </w:p>
        </w:tc>
      </w:tr>
      <w:tr w:rsidR="005A5331" w14:paraId="273FB7FA" w14:textId="77777777" w:rsidTr="005A5331">
        <w:trPr>
          <w:jc w:val="center"/>
        </w:trPr>
        <w:tc>
          <w:tcPr>
            <w:tcW w:w="2605" w:type="dxa"/>
          </w:tcPr>
          <w:p w14:paraId="2587F4AF" w14:textId="41F76A6B" w:rsidR="005A5331" w:rsidRDefault="005A5331" w:rsidP="005A5331">
            <w:r>
              <w:t>Office:</w:t>
            </w:r>
          </w:p>
        </w:tc>
        <w:tc>
          <w:tcPr>
            <w:tcW w:w="3780" w:type="dxa"/>
          </w:tcPr>
          <w:p w14:paraId="6BC2B251" w14:textId="6B5F6BC0" w:rsidR="001A347A" w:rsidRDefault="005A5331" w:rsidP="001A347A">
            <w:r>
              <w:t xml:space="preserve">Room 271, 12 </w:t>
            </w:r>
            <w:proofErr w:type="spellStart"/>
            <w:r>
              <w:t>Metrotech</w:t>
            </w:r>
            <w:proofErr w:type="spellEnd"/>
            <w:r>
              <w:t>, 26</w:t>
            </w:r>
            <w:r w:rsidRPr="005A5331">
              <w:rPr>
                <w:vertAlign w:val="superscript"/>
              </w:rPr>
              <w:t>th</w:t>
            </w:r>
            <w:r>
              <w:t xml:space="preserve"> Floor</w:t>
            </w:r>
          </w:p>
        </w:tc>
      </w:tr>
      <w:tr w:rsidR="001A347A" w14:paraId="27760239" w14:textId="77777777" w:rsidTr="005A5331">
        <w:trPr>
          <w:jc w:val="center"/>
        </w:trPr>
        <w:tc>
          <w:tcPr>
            <w:tcW w:w="2605" w:type="dxa"/>
          </w:tcPr>
          <w:p w14:paraId="42423C48" w14:textId="753FFDE0" w:rsidR="001A347A" w:rsidRDefault="001A347A" w:rsidP="005A5331">
            <w:r>
              <w:t>Office hours:</w:t>
            </w:r>
          </w:p>
        </w:tc>
        <w:tc>
          <w:tcPr>
            <w:tcW w:w="3780" w:type="dxa"/>
          </w:tcPr>
          <w:p w14:paraId="020F7E89" w14:textId="75B404D6" w:rsidR="001A347A" w:rsidRDefault="001A347A" w:rsidP="005A5331">
            <w:r>
              <w:t>By email appointment</w:t>
            </w:r>
          </w:p>
        </w:tc>
      </w:tr>
      <w:tr w:rsidR="001A347A" w14:paraId="55ADE703" w14:textId="77777777" w:rsidTr="005A5331">
        <w:trPr>
          <w:jc w:val="center"/>
        </w:trPr>
        <w:tc>
          <w:tcPr>
            <w:tcW w:w="2605" w:type="dxa"/>
          </w:tcPr>
          <w:p w14:paraId="4FE125C6" w14:textId="46B5931F" w:rsidR="001A347A" w:rsidRDefault="001A347A" w:rsidP="005A5331">
            <w:r>
              <w:t>Grading assistant:</w:t>
            </w:r>
          </w:p>
        </w:tc>
        <w:tc>
          <w:tcPr>
            <w:tcW w:w="3780" w:type="dxa"/>
          </w:tcPr>
          <w:p w14:paraId="0B72FF04" w14:textId="3654B404" w:rsidR="001A347A" w:rsidRDefault="00E701C9" w:rsidP="0083510F">
            <w:r>
              <w:t>N/A</w:t>
            </w:r>
          </w:p>
        </w:tc>
      </w:tr>
    </w:tbl>
    <w:p w14:paraId="1092FABC" w14:textId="77777777" w:rsidR="005A5331" w:rsidRDefault="005A5331" w:rsidP="005A5331">
      <w:pPr>
        <w:spacing w:after="0"/>
      </w:pPr>
    </w:p>
    <w:p w14:paraId="046883C9" w14:textId="03167BAB" w:rsidR="005A5331" w:rsidRPr="001A347A" w:rsidRDefault="005A5331" w:rsidP="005A5331">
      <w:pPr>
        <w:spacing w:after="0"/>
        <w:rPr>
          <w:b/>
        </w:rPr>
      </w:pPr>
      <w:r w:rsidRPr="001A347A">
        <w:rPr>
          <w:b/>
        </w:rPr>
        <w:t>Course description:</w:t>
      </w:r>
    </w:p>
    <w:p w14:paraId="4C47C2D9" w14:textId="77777777" w:rsidR="005A5331" w:rsidRDefault="005A5331" w:rsidP="000D3AEA">
      <w:pPr>
        <w:spacing w:after="0"/>
        <w:jc w:val="center"/>
      </w:pPr>
    </w:p>
    <w:p w14:paraId="53ABBC1F" w14:textId="2AC43192" w:rsidR="005A5331" w:rsidRDefault="00E701C9" w:rsidP="005A5331">
      <w:pPr>
        <w:pStyle w:val="ListParagraph"/>
        <w:spacing w:after="0"/>
        <w:ind w:left="810"/>
      </w:pPr>
      <w:r w:rsidRPr="00E701C9">
        <w:t xml:space="preserve">This is an introduction to </w:t>
      </w:r>
      <w:r>
        <w:t xml:space="preserve">corporate </w:t>
      </w:r>
      <w:r w:rsidRPr="00E701C9">
        <w:t xml:space="preserve">financial strategy for MS Financial Engineering students. </w:t>
      </w:r>
      <w:r>
        <w:t xml:space="preserve"> It is not a course in business strategy, but rather focuses on the financial prerequisites and consequences of business strategies.  </w:t>
      </w:r>
      <w:r w:rsidRPr="00E701C9">
        <w:t xml:space="preserve">The course </w:t>
      </w:r>
      <w:r>
        <w:t>emphasizes</w:t>
      </w:r>
      <w:r w:rsidRPr="00E701C9">
        <w:t xml:space="preserve"> the role of financial engineers and financial officers in developing and sustaining competitive advantage through the use of financial engineering analyses</w:t>
      </w:r>
      <w:r>
        <w:t xml:space="preserve"> to solve difficult corporate problems in case situations</w:t>
      </w:r>
      <w:r w:rsidRPr="00E701C9">
        <w:t>.</w:t>
      </w:r>
    </w:p>
    <w:p w14:paraId="6F251F6B" w14:textId="77777777" w:rsidR="005A5331" w:rsidRDefault="005A5331" w:rsidP="005A5331">
      <w:pPr>
        <w:spacing w:after="0"/>
      </w:pPr>
    </w:p>
    <w:p w14:paraId="71A9A6D5" w14:textId="7C791F31" w:rsidR="005A5331" w:rsidRPr="001A347A" w:rsidRDefault="005A5331" w:rsidP="005A5331">
      <w:pPr>
        <w:spacing w:after="0"/>
        <w:rPr>
          <w:b/>
        </w:rPr>
      </w:pPr>
      <w:r w:rsidRPr="001A347A">
        <w:rPr>
          <w:b/>
        </w:rPr>
        <w:t>Instructor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6"/>
        <w:gridCol w:w="6864"/>
      </w:tblGrid>
      <w:tr w:rsidR="003A0751" w14:paraId="2A95E0FF" w14:textId="77777777" w:rsidTr="005A5331">
        <w:tc>
          <w:tcPr>
            <w:tcW w:w="2496" w:type="dxa"/>
          </w:tcPr>
          <w:p w14:paraId="5064331E" w14:textId="47623709" w:rsidR="003A0751" w:rsidRDefault="003A0751" w:rsidP="00FA0AC6">
            <w:pPr>
              <w:rPr>
                <w:noProof/>
              </w:rPr>
            </w:pPr>
          </w:p>
          <w:p w14:paraId="2F09D64C" w14:textId="77777777" w:rsidR="003A0751" w:rsidRDefault="003A0751" w:rsidP="00FA0AC6">
            <w:pPr>
              <w:jc w:val="center"/>
            </w:pPr>
            <w:r>
              <w:rPr>
                <w:noProof/>
              </w:rPr>
              <w:drawing>
                <wp:inline distT="0" distB="0" distL="0" distR="0" wp14:anchorId="1764BF5B" wp14:editId="0F0DB352">
                  <wp:extent cx="1447800" cy="1447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imko prof photo.jpg"/>
                          <pic:cNvPicPr/>
                        </pic:nvPicPr>
                        <pic:blipFill>
                          <a:blip r:embed="rId6">
                            <a:extLst>
                              <a:ext uri="{28A0092B-C50C-407E-A947-70E740481C1C}">
                                <a14:useLocalDpi xmlns:a14="http://schemas.microsoft.com/office/drawing/2010/main" val="0"/>
                              </a:ext>
                            </a:extLst>
                          </a:blip>
                          <a:stretch>
                            <a:fillRect/>
                          </a:stretch>
                        </pic:blipFill>
                        <pic:spPr>
                          <a:xfrm>
                            <a:off x="0" y="0"/>
                            <a:ext cx="1447800" cy="1447800"/>
                          </a:xfrm>
                          <a:prstGeom prst="rect">
                            <a:avLst/>
                          </a:prstGeom>
                        </pic:spPr>
                      </pic:pic>
                    </a:graphicData>
                  </a:graphic>
                </wp:inline>
              </w:drawing>
            </w:r>
            <w:r>
              <w:t>Prof David C. Shimko</w:t>
            </w:r>
          </w:p>
        </w:tc>
        <w:tc>
          <w:tcPr>
            <w:tcW w:w="6864" w:type="dxa"/>
          </w:tcPr>
          <w:p w14:paraId="276EF7A1" w14:textId="77777777" w:rsidR="003A0751" w:rsidRPr="00AA7250" w:rsidRDefault="003A0751" w:rsidP="00FA0AC6">
            <w:pPr>
              <w:rPr>
                <w:i/>
                <w:sz w:val="20"/>
              </w:rPr>
            </w:pPr>
            <w:r w:rsidRPr="00AA7250">
              <w:rPr>
                <w:i/>
                <w:sz w:val="20"/>
              </w:rPr>
              <w:t>Resume in brief:</w:t>
            </w:r>
          </w:p>
          <w:p w14:paraId="671EA30B" w14:textId="77777777" w:rsidR="003A0751" w:rsidRPr="00AA7250" w:rsidRDefault="003A0751" w:rsidP="00FA0AC6">
            <w:pPr>
              <w:pStyle w:val="ListParagraph"/>
              <w:numPr>
                <w:ilvl w:val="0"/>
                <w:numId w:val="1"/>
              </w:numPr>
              <w:rPr>
                <w:sz w:val="20"/>
              </w:rPr>
            </w:pPr>
            <w:r w:rsidRPr="00AA7250">
              <w:rPr>
                <w:sz w:val="20"/>
              </w:rPr>
              <w:t>Assistant Professor, Marshall School, USC</w:t>
            </w:r>
          </w:p>
          <w:p w14:paraId="1D61C8BF" w14:textId="77777777" w:rsidR="003A0751" w:rsidRPr="00AA7250" w:rsidRDefault="003A0751" w:rsidP="00FA0AC6">
            <w:pPr>
              <w:pStyle w:val="ListParagraph"/>
              <w:numPr>
                <w:ilvl w:val="0"/>
                <w:numId w:val="1"/>
              </w:numPr>
              <w:rPr>
                <w:sz w:val="20"/>
              </w:rPr>
            </w:pPr>
            <w:r w:rsidRPr="00AA7250">
              <w:rPr>
                <w:sz w:val="20"/>
              </w:rPr>
              <w:t>Adjunct Professor, Harvard Business School</w:t>
            </w:r>
          </w:p>
          <w:p w14:paraId="4B5F0281" w14:textId="77777777" w:rsidR="003A0751" w:rsidRPr="00AA7250" w:rsidRDefault="003A0751" w:rsidP="00FA0AC6">
            <w:pPr>
              <w:pStyle w:val="ListParagraph"/>
              <w:numPr>
                <w:ilvl w:val="0"/>
                <w:numId w:val="1"/>
              </w:numPr>
              <w:rPr>
                <w:sz w:val="20"/>
              </w:rPr>
            </w:pPr>
            <w:r w:rsidRPr="00AA7250">
              <w:rPr>
                <w:sz w:val="20"/>
              </w:rPr>
              <w:t>Adjunct Professor, NYU Courant</w:t>
            </w:r>
          </w:p>
          <w:p w14:paraId="16EFF4C5" w14:textId="77777777" w:rsidR="003A0751" w:rsidRPr="00AA7250" w:rsidRDefault="003A0751" w:rsidP="00FA0AC6">
            <w:pPr>
              <w:pStyle w:val="ListParagraph"/>
              <w:numPr>
                <w:ilvl w:val="0"/>
                <w:numId w:val="1"/>
              </w:numPr>
              <w:rPr>
                <w:sz w:val="20"/>
              </w:rPr>
            </w:pPr>
            <w:r w:rsidRPr="00AA7250">
              <w:rPr>
                <w:sz w:val="20"/>
              </w:rPr>
              <w:t>Head of Commodity Derivatives Research, JPMorgan</w:t>
            </w:r>
          </w:p>
          <w:p w14:paraId="0E8DDE3F" w14:textId="77777777" w:rsidR="003A0751" w:rsidRPr="00AA7250" w:rsidRDefault="003A0751" w:rsidP="00FA0AC6">
            <w:pPr>
              <w:pStyle w:val="ListParagraph"/>
              <w:numPr>
                <w:ilvl w:val="0"/>
                <w:numId w:val="1"/>
              </w:numPr>
              <w:rPr>
                <w:sz w:val="20"/>
              </w:rPr>
            </w:pPr>
            <w:r w:rsidRPr="00AA7250">
              <w:rPr>
                <w:sz w:val="20"/>
              </w:rPr>
              <w:t>Head of Credit Research, JPMorgan</w:t>
            </w:r>
          </w:p>
          <w:p w14:paraId="7393BE99" w14:textId="77777777" w:rsidR="003A0751" w:rsidRPr="00AA7250" w:rsidRDefault="003A0751" w:rsidP="00FA0AC6">
            <w:pPr>
              <w:pStyle w:val="ListParagraph"/>
              <w:numPr>
                <w:ilvl w:val="0"/>
                <w:numId w:val="1"/>
              </w:numPr>
              <w:rPr>
                <w:sz w:val="20"/>
              </w:rPr>
            </w:pPr>
            <w:r w:rsidRPr="00AA7250">
              <w:rPr>
                <w:sz w:val="20"/>
              </w:rPr>
              <w:t>Head of Risk Management Advisory, Bankers Trust</w:t>
            </w:r>
          </w:p>
          <w:p w14:paraId="0603D7C4" w14:textId="77777777" w:rsidR="003A0751" w:rsidRPr="00AA7250" w:rsidRDefault="003A0751" w:rsidP="00FA0AC6">
            <w:pPr>
              <w:pStyle w:val="ListParagraph"/>
              <w:numPr>
                <w:ilvl w:val="0"/>
                <w:numId w:val="1"/>
              </w:numPr>
              <w:rPr>
                <w:sz w:val="20"/>
              </w:rPr>
            </w:pPr>
            <w:r w:rsidRPr="00AA7250">
              <w:rPr>
                <w:sz w:val="20"/>
              </w:rPr>
              <w:t>CEO and co-founder of Risk Capital, an independent risk advisory firm</w:t>
            </w:r>
          </w:p>
          <w:p w14:paraId="5C792822" w14:textId="77777777" w:rsidR="003A0751" w:rsidRDefault="003A0751" w:rsidP="00FA0AC6">
            <w:pPr>
              <w:pStyle w:val="ListParagraph"/>
              <w:numPr>
                <w:ilvl w:val="0"/>
                <w:numId w:val="1"/>
              </w:numPr>
              <w:rPr>
                <w:sz w:val="20"/>
              </w:rPr>
            </w:pPr>
            <w:r w:rsidRPr="00AA7250">
              <w:rPr>
                <w:sz w:val="20"/>
              </w:rPr>
              <w:t xml:space="preserve">CEO and co-founder of </w:t>
            </w:r>
            <w:proofErr w:type="spellStart"/>
            <w:r w:rsidRPr="00AA7250">
              <w:rPr>
                <w:sz w:val="20"/>
              </w:rPr>
              <w:t>CreditCircle</w:t>
            </w:r>
            <w:proofErr w:type="spellEnd"/>
            <w:r w:rsidRPr="00AA7250">
              <w:rPr>
                <w:sz w:val="20"/>
              </w:rPr>
              <w:t>, a marketplace lending platform</w:t>
            </w:r>
          </w:p>
          <w:p w14:paraId="2F058774" w14:textId="77777777" w:rsidR="003A0751" w:rsidRPr="00AA7250" w:rsidRDefault="003A0751" w:rsidP="00FA0AC6">
            <w:pPr>
              <w:pStyle w:val="ListParagraph"/>
              <w:numPr>
                <w:ilvl w:val="0"/>
                <w:numId w:val="1"/>
              </w:numPr>
              <w:rPr>
                <w:sz w:val="20"/>
              </w:rPr>
            </w:pPr>
            <w:r>
              <w:rPr>
                <w:sz w:val="20"/>
              </w:rPr>
              <w:t>Director of public, private and non-profit entities including GARP</w:t>
            </w:r>
          </w:p>
          <w:p w14:paraId="022A4496" w14:textId="77777777" w:rsidR="003A0751" w:rsidRDefault="003A0751" w:rsidP="00FA0AC6">
            <w:pPr>
              <w:pStyle w:val="ListParagraph"/>
              <w:numPr>
                <w:ilvl w:val="0"/>
                <w:numId w:val="1"/>
              </w:numPr>
            </w:pPr>
            <w:r w:rsidRPr="00AA7250">
              <w:rPr>
                <w:sz w:val="20"/>
              </w:rPr>
              <w:t>Widely published in derivatives valuation, risk management, commodities and credit</w:t>
            </w:r>
          </w:p>
        </w:tc>
      </w:tr>
    </w:tbl>
    <w:p w14:paraId="4382FAA4" w14:textId="77777777" w:rsidR="005A5331" w:rsidRDefault="005A5331" w:rsidP="003A0751">
      <w:pPr>
        <w:shd w:val="clear" w:color="auto" w:fill="FFFFFF"/>
        <w:rPr>
          <w:b/>
        </w:rPr>
      </w:pPr>
    </w:p>
    <w:p w14:paraId="12D6335B" w14:textId="61B12B20" w:rsidR="005A5331" w:rsidRPr="001A347A" w:rsidRDefault="001A347A" w:rsidP="003A0751">
      <w:pPr>
        <w:shd w:val="clear" w:color="auto" w:fill="FFFFFF"/>
        <w:rPr>
          <w:b/>
        </w:rPr>
      </w:pPr>
      <w:r w:rsidRPr="001A347A">
        <w:rPr>
          <w:b/>
        </w:rPr>
        <w:t>Class organization:</w:t>
      </w:r>
    </w:p>
    <w:p w14:paraId="43CBC704" w14:textId="20160AB9" w:rsidR="003A0751" w:rsidRDefault="00E701C9" w:rsidP="003A0751">
      <w:pPr>
        <w:shd w:val="clear" w:color="auto" w:fill="FFFFFF"/>
      </w:pPr>
      <w:r w:rsidRPr="00E701C9">
        <w:t xml:space="preserve">There are no required textbooks for this course.  </w:t>
      </w:r>
      <w:r w:rsidR="00367172" w:rsidRPr="00367172">
        <w:rPr>
          <w:u w:val="single"/>
        </w:rPr>
        <w:t>Corporate Finance</w:t>
      </w:r>
      <w:r w:rsidR="00367172">
        <w:t>, 4</w:t>
      </w:r>
      <w:r w:rsidR="00367172" w:rsidRPr="00367172">
        <w:rPr>
          <w:vertAlign w:val="superscript"/>
        </w:rPr>
        <w:t>th</w:t>
      </w:r>
      <w:r w:rsidR="00367172">
        <w:t xml:space="preserve"> Edition (MFE Version) by Ivo Welch is </w:t>
      </w:r>
      <w:r w:rsidR="009C587A">
        <w:t>recommended</w:t>
      </w:r>
      <w:r>
        <w:t xml:space="preserve"> as background where students feel they need it</w:t>
      </w:r>
      <w:r w:rsidR="00367172">
        <w:t>.  The Welch text is available free online or a pri</w:t>
      </w:r>
      <w:r w:rsidR="0083510F">
        <w:t>n</w:t>
      </w:r>
      <w:r w:rsidR="00367172">
        <w:t xml:space="preserve">t copy may be purchased.  </w:t>
      </w:r>
      <w:r>
        <w:t>Readings will be taken from Wall Street Investment Banking publications, Business School cases, and academic papers.  Students will be expected to purchase their own copies of business school cases unless another arrangement is made.</w:t>
      </w:r>
    </w:p>
    <w:p w14:paraId="7B9ECB1A" w14:textId="749D444D" w:rsidR="003A0751" w:rsidRPr="00461824" w:rsidRDefault="003A0751" w:rsidP="003A0751">
      <w:pPr>
        <w:shd w:val="clear" w:color="auto" w:fill="FFFFFF"/>
      </w:pPr>
      <w:r w:rsidRPr="001A347A">
        <w:rPr>
          <w:i/>
        </w:rPr>
        <w:t>NYU Classes:</w:t>
      </w:r>
      <w:r>
        <w:t xml:space="preserve">  Please follow the course requirements online weekly, as they are likely to change as the term progresses.</w:t>
      </w:r>
      <w:r w:rsidR="00E701C9">
        <w:t xml:space="preserve">  You must prepare readings before class so that you can participate successfully in discussions</w:t>
      </w:r>
    </w:p>
    <w:p w14:paraId="31F31024" w14:textId="53153543" w:rsidR="003A0751" w:rsidRDefault="003A0751" w:rsidP="003A0751">
      <w:r w:rsidRPr="001A347A">
        <w:rPr>
          <w:i/>
        </w:rPr>
        <w:t>Re</w:t>
      </w:r>
      <w:r w:rsidR="00E701C9">
        <w:rPr>
          <w:i/>
        </w:rPr>
        <w:t>quir</w:t>
      </w:r>
      <w:r w:rsidRPr="001A347A">
        <w:rPr>
          <w:i/>
        </w:rPr>
        <w:t>ed analytic software:</w:t>
      </w:r>
      <w:r>
        <w:t xml:space="preserve">  Excel and VBA.   </w:t>
      </w:r>
      <w:r w:rsidR="005A5331" w:rsidRPr="005A5331">
        <w:rPr>
          <w:b/>
        </w:rPr>
        <w:t>You must have access to Excel to complete your assignments.</w:t>
      </w:r>
      <w:r w:rsidR="005A5331">
        <w:t xml:space="preserve">  </w:t>
      </w:r>
      <w:r>
        <w:t xml:space="preserve">You are </w:t>
      </w:r>
      <w:r w:rsidR="005A5331">
        <w:t xml:space="preserve">also </w:t>
      </w:r>
      <w:r>
        <w:t xml:space="preserve">welcome to use </w:t>
      </w:r>
      <w:r w:rsidR="005A5331">
        <w:t>Python</w:t>
      </w:r>
      <w:r>
        <w:t xml:space="preserve"> or R for technical work, and for completing your project.</w:t>
      </w:r>
    </w:p>
    <w:p w14:paraId="54BEFD9C" w14:textId="118EBF67" w:rsidR="003A0751" w:rsidRDefault="003A0751" w:rsidP="003A0751">
      <w:r w:rsidRPr="001A347A">
        <w:rPr>
          <w:i/>
        </w:rPr>
        <w:lastRenderedPageBreak/>
        <w:t>Course grading:</w:t>
      </w:r>
      <w:r>
        <w:t xml:space="preserve">  </w:t>
      </w:r>
      <w:r w:rsidR="00E701C9">
        <w:t>The course grade is based 50% on class participation and 20% on the draft final paper and 30% on the final paper.  The final paper will be in the form of an investment banking report, combining academic research, original research and industry analysis.</w:t>
      </w:r>
      <w:r w:rsidR="004816CB">
        <w:t xml:space="preserve">  Ideally, the report will showcase the student’s financial engineering skills</w:t>
      </w:r>
    </w:p>
    <w:p w14:paraId="24A635A5" w14:textId="109A47CC" w:rsidR="003A0751" w:rsidRDefault="003A0751" w:rsidP="003A0751">
      <w:r w:rsidRPr="001A347A">
        <w:rPr>
          <w:i/>
        </w:rPr>
        <w:t>Office hours:</w:t>
      </w:r>
      <w:r>
        <w:t xml:space="preserve">  </w:t>
      </w:r>
      <w:r w:rsidR="0083510F">
        <w:t>Prof Shimko</w:t>
      </w:r>
      <w:r>
        <w:t xml:space="preserve"> by </w:t>
      </w:r>
      <w:r w:rsidR="0083510F">
        <w:t xml:space="preserve">email </w:t>
      </w:r>
      <w:r>
        <w:t>appointment on the 26</w:t>
      </w:r>
      <w:r w:rsidRPr="009C17B9">
        <w:rPr>
          <w:vertAlign w:val="superscript"/>
        </w:rPr>
        <w:t>th</w:t>
      </w:r>
      <w:r>
        <w:t xml:space="preserve"> Floor of 12 </w:t>
      </w:r>
      <w:proofErr w:type="spellStart"/>
      <w:r>
        <w:t>Metrotech</w:t>
      </w:r>
      <w:proofErr w:type="spellEnd"/>
      <w:r>
        <w:t>.</w:t>
      </w:r>
    </w:p>
    <w:p w14:paraId="0B4D8158" w14:textId="77777777" w:rsidR="003A0751" w:rsidRDefault="003A0751" w:rsidP="008659DC">
      <w:pPr>
        <w:spacing w:after="0"/>
      </w:pPr>
    </w:p>
    <w:p w14:paraId="4661E719" w14:textId="77777777" w:rsidR="0076485D" w:rsidRDefault="0076485D" w:rsidP="008659DC">
      <w:pPr>
        <w:spacing w:after="0"/>
      </w:pPr>
    </w:p>
    <w:p w14:paraId="2F27213B" w14:textId="1C530E4A" w:rsidR="001C4BBC" w:rsidRPr="001A347A" w:rsidRDefault="001A347A" w:rsidP="008659DC">
      <w:pPr>
        <w:spacing w:after="0"/>
        <w:rPr>
          <w:b/>
        </w:rPr>
      </w:pPr>
      <w:r w:rsidRPr="001A347A">
        <w:rPr>
          <w:b/>
        </w:rPr>
        <w:t>Class outline, subject to revisions:</w:t>
      </w:r>
    </w:p>
    <w:p w14:paraId="7981F894" w14:textId="77777777" w:rsidR="0076485D" w:rsidRDefault="0076485D" w:rsidP="008659DC">
      <w:pPr>
        <w:spacing w:after="0"/>
      </w:pPr>
    </w:p>
    <w:tbl>
      <w:tblPr>
        <w:tblStyle w:val="TableGrid"/>
        <w:tblW w:w="6619" w:type="dxa"/>
        <w:tblLook w:val="04A0" w:firstRow="1" w:lastRow="0" w:firstColumn="1" w:lastColumn="0" w:noHBand="0" w:noVBand="1"/>
      </w:tblPr>
      <w:tblGrid>
        <w:gridCol w:w="1129"/>
        <w:gridCol w:w="5490"/>
      </w:tblGrid>
      <w:tr w:rsidR="003A0751" w14:paraId="3ACB9CD8" w14:textId="77777777" w:rsidTr="00FA0AC6">
        <w:tc>
          <w:tcPr>
            <w:tcW w:w="1129" w:type="dxa"/>
          </w:tcPr>
          <w:p w14:paraId="7D686FC8" w14:textId="0A4CB1B9" w:rsidR="003A0751" w:rsidRDefault="004816CB" w:rsidP="009C587A">
            <w:pPr>
              <w:jc w:val="right"/>
            </w:pPr>
            <w:r>
              <w:t>Week</w:t>
            </w:r>
            <w:r w:rsidR="003A0751">
              <w:t xml:space="preserve"> 1</w:t>
            </w:r>
          </w:p>
        </w:tc>
        <w:tc>
          <w:tcPr>
            <w:tcW w:w="5490" w:type="dxa"/>
          </w:tcPr>
          <w:p w14:paraId="2A95402C" w14:textId="2AFE2AC0" w:rsidR="003A0751" w:rsidRPr="00337BB1" w:rsidRDefault="00E701C9" w:rsidP="00337BB1">
            <w:r>
              <w:t>Cash balances and shareholder distributions</w:t>
            </w:r>
          </w:p>
        </w:tc>
      </w:tr>
      <w:tr w:rsidR="003A0751" w14:paraId="7885D3F2" w14:textId="77777777" w:rsidTr="00FA0AC6">
        <w:tc>
          <w:tcPr>
            <w:tcW w:w="1129" w:type="dxa"/>
          </w:tcPr>
          <w:p w14:paraId="304CE189" w14:textId="77777777" w:rsidR="003A0751" w:rsidRDefault="003A0751" w:rsidP="009C587A">
            <w:pPr>
              <w:jc w:val="right"/>
            </w:pPr>
            <w:r>
              <w:t>2</w:t>
            </w:r>
          </w:p>
        </w:tc>
        <w:tc>
          <w:tcPr>
            <w:tcW w:w="5490" w:type="dxa"/>
            <w:shd w:val="clear" w:color="auto" w:fill="auto"/>
          </w:tcPr>
          <w:p w14:paraId="4C3830AB" w14:textId="723BE763" w:rsidR="004816CB" w:rsidRDefault="004816CB" w:rsidP="009C587A">
            <w:r>
              <w:t xml:space="preserve">Case </w:t>
            </w:r>
            <w:r w:rsidR="0012625B">
              <w:t xml:space="preserve">(or cases) </w:t>
            </w:r>
            <w:r>
              <w:t>on cash balances</w:t>
            </w:r>
          </w:p>
          <w:p w14:paraId="10752129" w14:textId="485F4EF8" w:rsidR="003A0751" w:rsidRDefault="004816CB" w:rsidP="004816CB">
            <w:r>
              <w:t>Readings on corporate financing strategy</w:t>
            </w:r>
          </w:p>
        </w:tc>
      </w:tr>
      <w:tr w:rsidR="003A0751" w14:paraId="52228A79" w14:textId="77777777" w:rsidTr="00FA0AC6">
        <w:tc>
          <w:tcPr>
            <w:tcW w:w="1129" w:type="dxa"/>
          </w:tcPr>
          <w:p w14:paraId="4120D1A4" w14:textId="77777777" w:rsidR="003A0751" w:rsidRDefault="003A0751" w:rsidP="009C587A">
            <w:pPr>
              <w:jc w:val="right"/>
            </w:pPr>
            <w:r>
              <w:t>3</w:t>
            </w:r>
          </w:p>
        </w:tc>
        <w:tc>
          <w:tcPr>
            <w:tcW w:w="5490" w:type="dxa"/>
            <w:shd w:val="clear" w:color="auto" w:fill="auto"/>
          </w:tcPr>
          <w:p w14:paraId="337F2FBA" w14:textId="5F5F5B4A" w:rsidR="003A0751" w:rsidRDefault="004816CB" w:rsidP="00FA0AC6">
            <w:r>
              <w:t xml:space="preserve">Case </w:t>
            </w:r>
            <w:r w:rsidR="0012625B">
              <w:t>(or cases)</w:t>
            </w:r>
            <w:r w:rsidR="0012625B">
              <w:t xml:space="preserve"> </w:t>
            </w:r>
            <w:r>
              <w:t>on corporate financing strategy</w:t>
            </w:r>
          </w:p>
          <w:p w14:paraId="23175B9E" w14:textId="6699CF7F" w:rsidR="004816CB" w:rsidRPr="00431ABA" w:rsidRDefault="004816CB" w:rsidP="00FA0AC6">
            <w:r>
              <w:t>Readings on fundraising strategies</w:t>
            </w:r>
          </w:p>
        </w:tc>
      </w:tr>
      <w:tr w:rsidR="003A0751" w14:paraId="7CAEE43F" w14:textId="77777777" w:rsidTr="00FA0AC6">
        <w:tc>
          <w:tcPr>
            <w:tcW w:w="1129" w:type="dxa"/>
          </w:tcPr>
          <w:p w14:paraId="267F6C92" w14:textId="22A61F5D" w:rsidR="003A0751" w:rsidRDefault="00431ABA" w:rsidP="009C587A">
            <w:pPr>
              <w:jc w:val="right"/>
            </w:pPr>
            <w:r>
              <w:t>4</w:t>
            </w:r>
          </w:p>
        </w:tc>
        <w:tc>
          <w:tcPr>
            <w:tcW w:w="5490" w:type="dxa"/>
            <w:shd w:val="clear" w:color="auto" w:fill="auto"/>
          </w:tcPr>
          <w:p w14:paraId="2FF1D1CF" w14:textId="59D27487" w:rsidR="003A0751" w:rsidRDefault="004816CB" w:rsidP="00431ABA">
            <w:r>
              <w:t xml:space="preserve">Case </w:t>
            </w:r>
            <w:r w:rsidR="0012625B">
              <w:t xml:space="preserve">(or cases) </w:t>
            </w:r>
            <w:r>
              <w:t>on fundraising strategy</w:t>
            </w:r>
          </w:p>
          <w:p w14:paraId="0174E62C" w14:textId="5B6A2426" w:rsidR="004816CB" w:rsidRPr="00431ABA" w:rsidRDefault="004816CB" w:rsidP="00431ABA">
            <w:r>
              <w:t>Readings on acquisition strategy</w:t>
            </w:r>
          </w:p>
        </w:tc>
      </w:tr>
      <w:tr w:rsidR="00431ABA" w14:paraId="77A25588" w14:textId="77777777" w:rsidTr="00FA0AC6">
        <w:tc>
          <w:tcPr>
            <w:tcW w:w="1129" w:type="dxa"/>
          </w:tcPr>
          <w:p w14:paraId="590556CE" w14:textId="624DFABC" w:rsidR="00431ABA" w:rsidRDefault="00431ABA" w:rsidP="009C587A">
            <w:pPr>
              <w:jc w:val="right"/>
            </w:pPr>
            <w:r>
              <w:t>5</w:t>
            </w:r>
          </w:p>
        </w:tc>
        <w:tc>
          <w:tcPr>
            <w:tcW w:w="5490" w:type="dxa"/>
            <w:shd w:val="clear" w:color="auto" w:fill="auto"/>
          </w:tcPr>
          <w:p w14:paraId="753CB137" w14:textId="79CD4CCF" w:rsidR="00431ABA" w:rsidRPr="004816CB" w:rsidRDefault="004816CB" w:rsidP="00431ABA">
            <w:r w:rsidRPr="004816CB">
              <w:t xml:space="preserve">Case </w:t>
            </w:r>
            <w:r w:rsidR="0012625B">
              <w:t xml:space="preserve">(or cases) </w:t>
            </w:r>
            <w:r w:rsidRPr="004816CB">
              <w:t>on acquisition strategy</w:t>
            </w:r>
          </w:p>
          <w:p w14:paraId="20465B16" w14:textId="77777777" w:rsidR="004816CB" w:rsidRDefault="004816CB" w:rsidP="00431ABA">
            <w:r w:rsidRPr="004816CB">
              <w:t>Readings on risk management strategy</w:t>
            </w:r>
          </w:p>
          <w:p w14:paraId="3CDFFAB9" w14:textId="220AB800" w:rsidR="004816CB" w:rsidRPr="004816CB" w:rsidRDefault="004816CB" w:rsidP="004816CB">
            <w:pPr>
              <w:rPr>
                <w:b/>
              </w:rPr>
            </w:pPr>
            <w:r>
              <w:t>First draft of final paper due</w:t>
            </w:r>
          </w:p>
        </w:tc>
      </w:tr>
      <w:tr w:rsidR="00431ABA" w14:paraId="00657431" w14:textId="77777777" w:rsidTr="00FA0AC6">
        <w:tc>
          <w:tcPr>
            <w:tcW w:w="1129" w:type="dxa"/>
          </w:tcPr>
          <w:p w14:paraId="5C7742EA" w14:textId="77777777" w:rsidR="00431ABA" w:rsidRDefault="00431ABA" w:rsidP="009C587A">
            <w:pPr>
              <w:jc w:val="right"/>
            </w:pPr>
            <w:r>
              <w:t>6</w:t>
            </w:r>
          </w:p>
        </w:tc>
        <w:tc>
          <w:tcPr>
            <w:tcW w:w="5490" w:type="dxa"/>
            <w:shd w:val="clear" w:color="auto" w:fill="auto"/>
          </w:tcPr>
          <w:p w14:paraId="1A9A51B4" w14:textId="5408A55F" w:rsidR="00431ABA" w:rsidRDefault="004816CB" w:rsidP="009C587A">
            <w:r>
              <w:t xml:space="preserve">Cases </w:t>
            </w:r>
            <w:r w:rsidR="0012625B">
              <w:t xml:space="preserve">(or cases) </w:t>
            </w:r>
            <w:r>
              <w:t>on risk management strategy</w:t>
            </w:r>
          </w:p>
          <w:p w14:paraId="664F0451" w14:textId="14304380" w:rsidR="004816CB" w:rsidRPr="00431ABA" w:rsidRDefault="004816CB" w:rsidP="009C587A"/>
        </w:tc>
      </w:tr>
      <w:tr w:rsidR="00431ABA" w14:paraId="2451D839" w14:textId="77777777" w:rsidTr="00FA0AC6">
        <w:tc>
          <w:tcPr>
            <w:tcW w:w="1129" w:type="dxa"/>
          </w:tcPr>
          <w:p w14:paraId="4F272A55" w14:textId="77777777" w:rsidR="00431ABA" w:rsidRDefault="00431ABA" w:rsidP="009C587A">
            <w:pPr>
              <w:jc w:val="right"/>
            </w:pPr>
            <w:r>
              <w:t>7</w:t>
            </w:r>
          </w:p>
        </w:tc>
        <w:tc>
          <w:tcPr>
            <w:tcW w:w="5490" w:type="dxa"/>
            <w:shd w:val="clear" w:color="auto" w:fill="auto"/>
          </w:tcPr>
          <w:p w14:paraId="2C8FD101" w14:textId="4E6D4BDF" w:rsidR="00431ABA" w:rsidRPr="00431ABA" w:rsidRDefault="004816CB" w:rsidP="00431ABA">
            <w:r>
              <w:t>In class presentations</w:t>
            </w:r>
          </w:p>
        </w:tc>
      </w:tr>
    </w:tbl>
    <w:p w14:paraId="5D01F1C3" w14:textId="0513A01A" w:rsidR="001A33EF" w:rsidRDefault="001A33EF"/>
    <w:sectPr w:rsidR="001A33EF" w:rsidSect="005A53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56553"/>
    <w:multiLevelType w:val="hybridMultilevel"/>
    <w:tmpl w:val="ED7A1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E4245F"/>
    <w:multiLevelType w:val="hybridMultilevel"/>
    <w:tmpl w:val="18F61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FA59A5"/>
    <w:multiLevelType w:val="hybridMultilevel"/>
    <w:tmpl w:val="B4CED6A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B10"/>
    <w:rsid w:val="00036AC0"/>
    <w:rsid w:val="000D3608"/>
    <w:rsid w:val="000D3AEA"/>
    <w:rsid w:val="000F1EFC"/>
    <w:rsid w:val="0012625B"/>
    <w:rsid w:val="001624CC"/>
    <w:rsid w:val="0016409C"/>
    <w:rsid w:val="00181B8A"/>
    <w:rsid w:val="001A33EF"/>
    <w:rsid w:val="001A347A"/>
    <w:rsid w:val="001B21E9"/>
    <w:rsid w:val="001C4BBC"/>
    <w:rsid w:val="0026136C"/>
    <w:rsid w:val="00281F62"/>
    <w:rsid w:val="002F474C"/>
    <w:rsid w:val="00313BB2"/>
    <w:rsid w:val="0033603E"/>
    <w:rsid w:val="00337BB1"/>
    <w:rsid w:val="00367172"/>
    <w:rsid w:val="00381B10"/>
    <w:rsid w:val="0039764F"/>
    <w:rsid w:val="003A0751"/>
    <w:rsid w:val="003A1B00"/>
    <w:rsid w:val="003A3509"/>
    <w:rsid w:val="003B72F3"/>
    <w:rsid w:val="003C0178"/>
    <w:rsid w:val="00406671"/>
    <w:rsid w:val="00431ABA"/>
    <w:rsid w:val="00445605"/>
    <w:rsid w:val="00461824"/>
    <w:rsid w:val="004718F3"/>
    <w:rsid w:val="004816CB"/>
    <w:rsid w:val="004C42DB"/>
    <w:rsid w:val="00593C6A"/>
    <w:rsid w:val="005A5331"/>
    <w:rsid w:val="00627316"/>
    <w:rsid w:val="00671E6C"/>
    <w:rsid w:val="006836C5"/>
    <w:rsid w:val="006C77E4"/>
    <w:rsid w:val="006E2DFF"/>
    <w:rsid w:val="006E61B2"/>
    <w:rsid w:val="006F6B76"/>
    <w:rsid w:val="0071663E"/>
    <w:rsid w:val="0076485D"/>
    <w:rsid w:val="007A705A"/>
    <w:rsid w:val="00802937"/>
    <w:rsid w:val="0083510F"/>
    <w:rsid w:val="00847DDE"/>
    <w:rsid w:val="008659DC"/>
    <w:rsid w:val="00877891"/>
    <w:rsid w:val="008A4081"/>
    <w:rsid w:val="00936DC5"/>
    <w:rsid w:val="009B0906"/>
    <w:rsid w:val="009C17B9"/>
    <w:rsid w:val="009C587A"/>
    <w:rsid w:val="009E19AA"/>
    <w:rsid w:val="00A04E31"/>
    <w:rsid w:val="00A07736"/>
    <w:rsid w:val="00A676DC"/>
    <w:rsid w:val="00AA7250"/>
    <w:rsid w:val="00AE3002"/>
    <w:rsid w:val="00B93F0A"/>
    <w:rsid w:val="00BC6846"/>
    <w:rsid w:val="00BF4EC9"/>
    <w:rsid w:val="00C971EC"/>
    <w:rsid w:val="00CC72F0"/>
    <w:rsid w:val="00D005F0"/>
    <w:rsid w:val="00D533C7"/>
    <w:rsid w:val="00DA39AA"/>
    <w:rsid w:val="00DF2A6A"/>
    <w:rsid w:val="00DF4774"/>
    <w:rsid w:val="00E701C9"/>
    <w:rsid w:val="00E97059"/>
    <w:rsid w:val="00EC1DD5"/>
    <w:rsid w:val="00EC52DC"/>
    <w:rsid w:val="00ED2021"/>
    <w:rsid w:val="00ED5067"/>
    <w:rsid w:val="00F54BB8"/>
    <w:rsid w:val="00F66FAF"/>
    <w:rsid w:val="00FB76DB"/>
    <w:rsid w:val="00FC12B1"/>
    <w:rsid w:val="00FD4CC6"/>
    <w:rsid w:val="00FF4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3E015"/>
  <w15:chartTrackingRefBased/>
  <w15:docId w15:val="{ED86D855-789C-4509-B6BA-030405192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81B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base">
    <w:name w:val="a-size-base"/>
    <w:basedOn w:val="DefaultParagraphFont"/>
    <w:rsid w:val="00461824"/>
  </w:style>
  <w:style w:type="character" w:customStyle="1" w:styleId="apple-converted-space">
    <w:name w:val="apple-converted-space"/>
    <w:basedOn w:val="DefaultParagraphFont"/>
    <w:rsid w:val="00461824"/>
  </w:style>
  <w:style w:type="paragraph" w:styleId="ListParagraph">
    <w:name w:val="List Paragraph"/>
    <w:basedOn w:val="Normal"/>
    <w:uiPriority w:val="34"/>
    <w:qFormat/>
    <w:rsid w:val="00FD4CC6"/>
    <w:pPr>
      <w:ind w:left="720"/>
      <w:contextualSpacing/>
    </w:pPr>
  </w:style>
  <w:style w:type="character" w:styleId="Hyperlink">
    <w:name w:val="Hyperlink"/>
    <w:basedOn w:val="DefaultParagraphFont"/>
    <w:uiPriority w:val="99"/>
    <w:unhideWhenUsed/>
    <w:rsid w:val="008659DC"/>
    <w:rPr>
      <w:color w:val="0563C1" w:themeColor="hyperlink"/>
      <w:u w:val="single"/>
    </w:rPr>
  </w:style>
  <w:style w:type="character" w:customStyle="1" w:styleId="Mention">
    <w:name w:val="Mention"/>
    <w:basedOn w:val="DefaultParagraphFont"/>
    <w:uiPriority w:val="99"/>
    <w:semiHidden/>
    <w:unhideWhenUsed/>
    <w:rsid w:val="008659DC"/>
    <w:rPr>
      <w:color w:val="2B579A"/>
      <w:shd w:val="clear" w:color="auto" w:fill="E6E6E6"/>
    </w:rPr>
  </w:style>
  <w:style w:type="paragraph" w:styleId="BalloonText">
    <w:name w:val="Balloon Text"/>
    <w:basedOn w:val="Normal"/>
    <w:link w:val="BalloonTextChar"/>
    <w:uiPriority w:val="99"/>
    <w:semiHidden/>
    <w:unhideWhenUsed/>
    <w:rsid w:val="001A33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33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169219">
      <w:bodyDiv w:val="1"/>
      <w:marLeft w:val="0"/>
      <w:marRight w:val="0"/>
      <w:marTop w:val="0"/>
      <w:marBottom w:val="0"/>
      <w:divBdr>
        <w:top w:val="none" w:sz="0" w:space="0" w:color="auto"/>
        <w:left w:val="none" w:sz="0" w:space="0" w:color="auto"/>
        <w:bottom w:val="none" w:sz="0" w:space="0" w:color="auto"/>
        <w:right w:val="none" w:sz="0" w:space="0" w:color="auto"/>
      </w:divBdr>
      <w:divsChild>
        <w:div w:id="1025715089">
          <w:marLeft w:val="0"/>
          <w:marRight w:val="0"/>
          <w:marTop w:val="0"/>
          <w:marBottom w:val="0"/>
          <w:divBdr>
            <w:top w:val="none" w:sz="0" w:space="0" w:color="auto"/>
            <w:left w:val="none" w:sz="0" w:space="0" w:color="auto"/>
            <w:bottom w:val="none" w:sz="0" w:space="0" w:color="auto"/>
            <w:right w:val="none" w:sz="0" w:space="0" w:color="auto"/>
          </w:divBdr>
        </w:div>
        <w:div w:id="1978415507">
          <w:marLeft w:val="0"/>
          <w:marRight w:val="0"/>
          <w:marTop w:val="0"/>
          <w:marBottom w:val="0"/>
          <w:divBdr>
            <w:top w:val="none" w:sz="0" w:space="0" w:color="auto"/>
            <w:left w:val="none" w:sz="0" w:space="0" w:color="auto"/>
            <w:bottom w:val="none" w:sz="0" w:space="0" w:color="auto"/>
            <w:right w:val="none" w:sz="0" w:space="0" w:color="auto"/>
          </w:divBdr>
        </w:div>
      </w:divsChild>
    </w:div>
    <w:div w:id="1997882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hyperlink" Target="mailto:david.shimko@ny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489</Words>
  <Characters>2791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david.shimko@gmail.com</dc:creator>
  <cp:keywords/>
  <dc:description/>
  <cp:lastModifiedBy>David Shimko</cp:lastModifiedBy>
  <cp:revision>2</cp:revision>
  <cp:lastPrinted>2018-08-30T15:58:00Z</cp:lastPrinted>
  <dcterms:created xsi:type="dcterms:W3CDTF">2018-10-30T01:52:00Z</dcterms:created>
  <dcterms:modified xsi:type="dcterms:W3CDTF">2018-10-30T01:52:00Z</dcterms:modified>
</cp:coreProperties>
</file>