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F74D6" w14:textId="3E674B5D" w:rsidR="001D1226" w:rsidRPr="00213F6F" w:rsidRDefault="001D1226" w:rsidP="001D1226">
      <w:pPr>
        <w:autoSpaceDE w:val="0"/>
        <w:autoSpaceDN w:val="0"/>
        <w:adjustRightInd w:val="0"/>
        <w:jc w:val="center"/>
        <w:rPr>
          <w:rFonts w:ascii="TimesNewRoman" w:hAnsi="TimesNewRoman" w:cs="TimesNewRoman"/>
          <w:b/>
          <w:sz w:val="28"/>
          <w:szCs w:val="28"/>
        </w:rPr>
      </w:pPr>
      <w:r w:rsidRPr="00213F6F">
        <w:rPr>
          <w:rFonts w:ascii="TimesNewRoman" w:hAnsi="TimesNewRoman" w:cs="TimesNewRoman"/>
          <w:b/>
          <w:sz w:val="28"/>
          <w:szCs w:val="28"/>
        </w:rPr>
        <w:t xml:space="preserve">New York University </w:t>
      </w:r>
      <w:r w:rsidR="0048737B">
        <w:rPr>
          <w:rFonts w:ascii="TimesNewRoman" w:hAnsi="TimesNewRoman" w:cs="TimesNewRoman"/>
          <w:b/>
          <w:sz w:val="28"/>
          <w:szCs w:val="28"/>
        </w:rPr>
        <w:t>Tandon</w:t>
      </w:r>
      <w:r w:rsidR="005F3351">
        <w:rPr>
          <w:rFonts w:ascii="TimesNewRoman" w:hAnsi="TimesNewRoman" w:cs="TimesNewRoman"/>
          <w:b/>
          <w:sz w:val="28"/>
          <w:szCs w:val="28"/>
        </w:rPr>
        <w:t xml:space="preserve"> </w:t>
      </w:r>
      <w:r w:rsidR="0044061F" w:rsidRPr="00213F6F">
        <w:rPr>
          <w:rFonts w:ascii="TimesNewRoman" w:hAnsi="TimesNewRoman" w:cs="TimesNewRoman"/>
          <w:b/>
          <w:sz w:val="28"/>
          <w:szCs w:val="28"/>
        </w:rPr>
        <w:t>School of Engineering</w:t>
      </w:r>
    </w:p>
    <w:p w14:paraId="26F1E9AB" w14:textId="77777777" w:rsidR="0070561F" w:rsidRPr="0070561F" w:rsidRDefault="0070561F" w:rsidP="0070561F">
      <w:pPr>
        <w:autoSpaceDE w:val="0"/>
        <w:autoSpaceDN w:val="0"/>
        <w:adjustRightInd w:val="0"/>
        <w:jc w:val="center"/>
        <w:rPr>
          <w:rFonts w:ascii="TimesNewRoman" w:hAnsi="TimesNewRoman" w:cs="TimesNewRoman"/>
        </w:rPr>
      </w:pPr>
      <w:r w:rsidRPr="0070561F">
        <w:rPr>
          <w:rFonts w:ascii="TimesNewRoman" w:hAnsi="TimesNewRoman" w:cs="TimesNewRoman"/>
        </w:rPr>
        <w:t>Department of Financial Engineering</w:t>
      </w:r>
    </w:p>
    <w:p w14:paraId="299E1A3E" w14:textId="77777777" w:rsidR="0070561F" w:rsidRPr="0070561F" w:rsidRDefault="001D1226" w:rsidP="0070561F">
      <w:pPr>
        <w:autoSpaceDE w:val="0"/>
        <w:autoSpaceDN w:val="0"/>
        <w:adjustRightInd w:val="0"/>
        <w:jc w:val="center"/>
        <w:rPr>
          <w:rFonts w:ascii="TimesNewRoman" w:hAnsi="TimesNewRoman" w:cs="TimesNewRoman"/>
          <w:b/>
        </w:rPr>
      </w:pPr>
      <w:r w:rsidRPr="00213F6F">
        <w:rPr>
          <w:rFonts w:ascii="TimesNewRoman" w:hAnsi="TimesNewRoman" w:cs="TimesNewRoman"/>
        </w:rPr>
        <w:t xml:space="preserve">Course Outline </w:t>
      </w:r>
      <w:r w:rsidR="0070561F" w:rsidRPr="0070561F">
        <w:rPr>
          <w:rFonts w:ascii="TimesNewRoman" w:hAnsi="TimesNewRoman" w:cs="TimesNewRoman"/>
        </w:rPr>
        <w:t>FRE-GY</w:t>
      </w:r>
      <w:r w:rsidR="0070561F">
        <w:rPr>
          <w:rFonts w:ascii="TimesNewRoman" w:hAnsi="TimesNewRoman" w:cs="TimesNewRoman"/>
        </w:rPr>
        <w:t xml:space="preserve"> 6111 </w:t>
      </w:r>
      <w:r w:rsidR="0070561F" w:rsidRPr="0070561F">
        <w:rPr>
          <w:rFonts w:ascii="TimesNewRoman" w:hAnsi="TimesNewRoman" w:cs="TimesNewRoman"/>
        </w:rPr>
        <w:t>INVESTMENT BANKING AND BROKERAGE</w:t>
      </w:r>
    </w:p>
    <w:p w14:paraId="31617D30" w14:textId="4E60EF28" w:rsidR="001D1226" w:rsidRPr="00213F6F" w:rsidRDefault="009E013F" w:rsidP="0070561F">
      <w:pPr>
        <w:autoSpaceDE w:val="0"/>
        <w:autoSpaceDN w:val="0"/>
        <w:adjustRightInd w:val="0"/>
        <w:jc w:val="center"/>
        <w:rPr>
          <w:rFonts w:ascii="TimesNewRoman" w:hAnsi="TimesNewRoman" w:cs="TimesNewRoman"/>
          <w:sz w:val="20"/>
          <w:szCs w:val="20"/>
        </w:rPr>
      </w:pPr>
      <w:r>
        <w:rPr>
          <w:rFonts w:ascii="TimesNewRoman" w:hAnsi="TimesNewRoman" w:cs="TimesNewRoman"/>
          <w:b/>
          <w:bCs/>
        </w:rPr>
        <w:t>Fall</w:t>
      </w:r>
      <w:r w:rsidR="0070561F">
        <w:rPr>
          <w:rFonts w:ascii="TimesNewRoman" w:hAnsi="TimesNewRoman" w:cs="TimesNewRoman"/>
          <w:b/>
          <w:bCs/>
        </w:rPr>
        <w:t xml:space="preserve"> 201</w:t>
      </w:r>
      <w:r w:rsidR="00685E11">
        <w:rPr>
          <w:rFonts w:ascii="TimesNewRoman" w:hAnsi="TimesNewRoman" w:cs="TimesNewRoman"/>
          <w:b/>
          <w:bCs/>
        </w:rPr>
        <w:t>8</w:t>
      </w:r>
    </w:p>
    <w:p w14:paraId="040C6AEA" w14:textId="77777777" w:rsidR="001D1226" w:rsidRPr="00213F6F" w:rsidRDefault="001D1226" w:rsidP="001D1226">
      <w:pPr>
        <w:autoSpaceDE w:val="0"/>
        <w:autoSpaceDN w:val="0"/>
        <w:adjustRightInd w:val="0"/>
        <w:jc w:val="center"/>
        <w:rPr>
          <w:rFonts w:ascii="TimesNewRoman" w:hAnsi="TimesNewRoman" w:cs="TimesNewRoman"/>
          <w:sz w:val="20"/>
          <w:szCs w:val="20"/>
        </w:rPr>
      </w:pPr>
      <w:r w:rsidRPr="00213F6F">
        <w:rPr>
          <w:rFonts w:ascii="TimesNewRoman,Bold" w:hAnsi="TimesNewRoman,Bold" w:cs="TimesNewRoman,Bold"/>
          <w:b/>
          <w:bCs/>
        </w:rPr>
        <w:t xml:space="preserve">Professor </w:t>
      </w:r>
      <w:r w:rsidR="0070561F">
        <w:rPr>
          <w:rFonts w:ascii="TimesNewRoman,Bold" w:hAnsi="TimesNewRoman,Bold" w:cs="TimesNewRoman,Bold"/>
          <w:b/>
          <w:bCs/>
        </w:rPr>
        <w:t>Raphaele Chappe</w:t>
      </w:r>
    </w:p>
    <w:p w14:paraId="422F5C1C" w14:textId="77777777" w:rsidR="00D3046F" w:rsidRPr="00D3046F" w:rsidRDefault="0070561F" w:rsidP="00D3046F">
      <w:pPr>
        <w:jc w:val="center"/>
        <w:rPr>
          <w:rFonts w:ascii="TimesNewRoman" w:hAnsi="TimesNewRoman" w:cs="TimesNewRoman"/>
        </w:rPr>
      </w:pPr>
      <w:r>
        <w:rPr>
          <w:rFonts w:ascii="TimesNewRoman" w:hAnsi="TimesNewRoman" w:cs="TimesNewRoman"/>
        </w:rPr>
        <w:t>Mondays</w:t>
      </w:r>
      <w:r w:rsidR="001D1226" w:rsidRPr="00213F6F">
        <w:rPr>
          <w:rFonts w:ascii="TimesNewRoman" w:hAnsi="TimesNewRoman" w:cs="TimesNewRoman"/>
        </w:rPr>
        <w:t xml:space="preserve"> </w:t>
      </w:r>
      <w:r>
        <w:rPr>
          <w:rFonts w:ascii="TimesNewRoman" w:hAnsi="TimesNewRoman" w:cs="TimesNewRoman"/>
        </w:rPr>
        <w:t>6:00pm – 8:41 pm; Rogers Hall</w:t>
      </w:r>
      <w:r w:rsidR="001D1226" w:rsidRPr="00213F6F">
        <w:rPr>
          <w:rFonts w:ascii="TimesNewRoman" w:hAnsi="TimesNewRoman" w:cs="TimesNewRoman"/>
        </w:rPr>
        <w:t xml:space="preserve">, </w:t>
      </w:r>
      <w:r w:rsidR="00D3046F" w:rsidRPr="00D3046F">
        <w:rPr>
          <w:rFonts w:ascii="TimesNewRoman" w:hAnsi="TimesNewRoman" w:cs="TimesNewRoman"/>
        </w:rPr>
        <w:t>RGSH_602</w:t>
      </w:r>
    </w:p>
    <w:p w14:paraId="6B6E49A1" w14:textId="00045B4D" w:rsidR="001D1226" w:rsidRPr="00213F6F" w:rsidRDefault="001D1226" w:rsidP="001D1226">
      <w:pPr>
        <w:autoSpaceDE w:val="0"/>
        <w:autoSpaceDN w:val="0"/>
        <w:adjustRightInd w:val="0"/>
        <w:jc w:val="center"/>
        <w:rPr>
          <w:rFonts w:ascii="TimesNewRoman" w:hAnsi="TimesNewRoman" w:cs="TimesNewRoman"/>
          <w:sz w:val="20"/>
          <w:szCs w:val="20"/>
        </w:rPr>
      </w:pPr>
    </w:p>
    <w:p w14:paraId="010B8F4B" w14:textId="77777777" w:rsidR="001D1226" w:rsidRPr="00213F6F" w:rsidRDefault="001D1226" w:rsidP="001D1226">
      <w:pPr>
        <w:autoSpaceDE w:val="0"/>
        <w:autoSpaceDN w:val="0"/>
        <w:adjustRightInd w:val="0"/>
        <w:rPr>
          <w:rFonts w:ascii="TimesNewRoman" w:hAnsi="TimesNewRoman" w:cs="TimesNewRoman"/>
        </w:rPr>
      </w:pPr>
    </w:p>
    <w:p w14:paraId="3384CFA4" w14:textId="77777777" w:rsidR="001D1226" w:rsidRPr="00213F6F" w:rsidRDefault="0070561F" w:rsidP="001D1226">
      <w:pPr>
        <w:autoSpaceDE w:val="0"/>
        <w:autoSpaceDN w:val="0"/>
        <w:adjustRightInd w:val="0"/>
        <w:rPr>
          <w:rFonts w:ascii="TimesNewRoman" w:hAnsi="TimesNewRoman" w:cs="TimesNewRoman"/>
          <w:sz w:val="20"/>
          <w:szCs w:val="20"/>
        </w:rPr>
      </w:pPr>
      <w:r>
        <w:rPr>
          <w:rFonts w:ascii="TimesNewRoman" w:hAnsi="TimesNewRoman" w:cs="TimesNewRoman"/>
        </w:rPr>
        <w:t>To contact professor: rc489@nyu.edu or raphaele.chappe@gmail.com</w:t>
      </w:r>
      <w:r w:rsidR="001D1226" w:rsidRPr="00213F6F">
        <w:rPr>
          <w:rFonts w:ascii="TimesNewRoman" w:hAnsi="TimesNewRoman" w:cs="TimesNewRoman"/>
          <w:u w:val="single"/>
        </w:rPr>
        <w:t xml:space="preserve"> </w:t>
      </w:r>
    </w:p>
    <w:p w14:paraId="091EA48B" w14:textId="77777777" w:rsidR="001D1226" w:rsidRPr="00213F6F" w:rsidRDefault="001D1226" w:rsidP="006F1625">
      <w:pPr>
        <w:autoSpaceDE w:val="0"/>
        <w:autoSpaceDN w:val="0"/>
        <w:adjustRightInd w:val="0"/>
        <w:rPr>
          <w:rFonts w:ascii="TimesNewRoman" w:hAnsi="TimesNewRoman" w:cs="TimesNewRoman"/>
          <w:sz w:val="20"/>
          <w:szCs w:val="20"/>
        </w:rPr>
      </w:pPr>
      <w:r w:rsidRPr="00213F6F">
        <w:rPr>
          <w:rFonts w:ascii="TimesNewRoman" w:hAnsi="TimesNewRoman" w:cs="TimesNewRoman"/>
        </w:rPr>
        <w:t xml:space="preserve">Office hours: </w:t>
      </w:r>
      <w:r w:rsidR="0070561F">
        <w:rPr>
          <w:rFonts w:ascii="TimesNewRoman" w:hAnsi="TimesNewRoman" w:cs="TimesNewRoman"/>
        </w:rPr>
        <w:t>Mondays 4:00 – 6:00pm</w:t>
      </w:r>
      <w:r w:rsidRPr="00213F6F">
        <w:rPr>
          <w:rFonts w:ascii="TimesNewRoman" w:hAnsi="TimesNewRoman" w:cs="TimesNewRoman"/>
        </w:rPr>
        <w:t xml:space="preserve"> or by appointment </w:t>
      </w:r>
    </w:p>
    <w:p w14:paraId="779B1EEE" w14:textId="77777777" w:rsidR="001D1226" w:rsidRPr="00213F6F" w:rsidRDefault="001D1226" w:rsidP="001D1226">
      <w:pPr>
        <w:autoSpaceDE w:val="0"/>
        <w:autoSpaceDN w:val="0"/>
        <w:adjustRightInd w:val="0"/>
        <w:rPr>
          <w:rFonts w:ascii="TimesNewRoman" w:hAnsi="TimesNewRoman" w:cs="TimesNewRoman"/>
          <w:u w:val="single"/>
        </w:rPr>
      </w:pPr>
    </w:p>
    <w:p w14:paraId="14FE7C06" w14:textId="77777777" w:rsidR="001D1226" w:rsidRDefault="001D1226" w:rsidP="001D1226">
      <w:pPr>
        <w:autoSpaceDE w:val="0"/>
        <w:autoSpaceDN w:val="0"/>
        <w:adjustRightInd w:val="0"/>
        <w:rPr>
          <w:rFonts w:ascii="TimesNewRoman" w:hAnsi="TimesNewRoman" w:cs="TimesNewRoman"/>
          <w:u w:val="single"/>
        </w:rPr>
      </w:pPr>
      <w:r w:rsidRPr="00213F6F">
        <w:rPr>
          <w:rFonts w:ascii="TimesNewRoman" w:hAnsi="TimesNewRoman" w:cs="TimesNewRoman"/>
          <w:u w:val="single"/>
        </w:rPr>
        <w:t xml:space="preserve">Course Pre-requisites </w:t>
      </w:r>
    </w:p>
    <w:p w14:paraId="16287FA2" w14:textId="77777777" w:rsidR="008472C9" w:rsidRDefault="008472C9" w:rsidP="001D1226">
      <w:pPr>
        <w:autoSpaceDE w:val="0"/>
        <w:autoSpaceDN w:val="0"/>
        <w:adjustRightInd w:val="0"/>
        <w:rPr>
          <w:rFonts w:ascii="TimesNewRoman" w:hAnsi="TimesNewRoman" w:cs="TimesNewRoman"/>
          <w:u w:val="single"/>
        </w:rPr>
      </w:pPr>
    </w:p>
    <w:p w14:paraId="01E8AF1A" w14:textId="77777777" w:rsidR="0070561F" w:rsidRPr="0070561F" w:rsidRDefault="0070561F" w:rsidP="001D1226">
      <w:pPr>
        <w:autoSpaceDE w:val="0"/>
        <w:autoSpaceDN w:val="0"/>
        <w:adjustRightInd w:val="0"/>
        <w:rPr>
          <w:rFonts w:ascii="TimesNewRoman" w:hAnsi="TimesNewRoman" w:cs="TimesNewRoman"/>
          <w:sz w:val="20"/>
          <w:szCs w:val="20"/>
        </w:rPr>
      </w:pPr>
      <w:r w:rsidRPr="0070561F">
        <w:rPr>
          <w:rFonts w:ascii="TimesNewRoman" w:hAnsi="TimesNewRoman" w:cs="TimesNewRoman"/>
        </w:rPr>
        <w:t>None</w:t>
      </w:r>
    </w:p>
    <w:p w14:paraId="56921F68" w14:textId="77777777" w:rsidR="001D1226" w:rsidRPr="00213F6F" w:rsidRDefault="001D1226" w:rsidP="001D1226">
      <w:pPr>
        <w:autoSpaceDE w:val="0"/>
        <w:autoSpaceDN w:val="0"/>
        <w:adjustRightInd w:val="0"/>
        <w:rPr>
          <w:rFonts w:ascii="TimesNewRoman" w:hAnsi="TimesNewRoman" w:cs="TimesNewRoman"/>
          <w:u w:val="single"/>
        </w:rPr>
      </w:pPr>
    </w:p>
    <w:p w14:paraId="2AB532D5" w14:textId="77777777" w:rsidR="008472C9" w:rsidRDefault="001D1226" w:rsidP="0070561F">
      <w:pPr>
        <w:autoSpaceDE w:val="0"/>
        <w:autoSpaceDN w:val="0"/>
        <w:adjustRightInd w:val="0"/>
        <w:rPr>
          <w:rFonts w:ascii="TimesNewRoman" w:hAnsi="TimesNewRoman" w:cs="TimesNewRoman"/>
          <w:u w:val="single"/>
        </w:rPr>
      </w:pPr>
      <w:r w:rsidRPr="00213F6F">
        <w:rPr>
          <w:rFonts w:ascii="TimesNewRoman" w:hAnsi="TimesNewRoman" w:cs="TimesNewRoman"/>
          <w:u w:val="single"/>
        </w:rPr>
        <w:t>Course Description</w:t>
      </w:r>
    </w:p>
    <w:p w14:paraId="3ECBC402" w14:textId="046BEC13" w:rsidR="0070561F" w:rsidRDefault="001D1226" w:rsidP="0070561F">
      <w:pPr>
        <w:autoSpaceDE w:val="0"/>
        <w:autoSpaceDN w:val="0"/>
        <w:adjustRightInd w:val="0"/>
        <w:rPr>
          <w:rFonts w:ascii="TimesNewRoman" w:hAnsi="TimesNewRoman" w:cs="TimesNewRoman"/>
          <w:u w:val="single"/>
        </w:rPr>
      </w:pPr>
      <w:r w:rsidRPr="00213F6F">
        <w:rPr>
          <w:rFonts w:ascii="TimesNewRoman" w:hAnsi="TimesNewRoman" w:cs="TimesNewRoman"/>
          <w:u w:val="single"/>
        </w:rPr>
        <w:t xml:space="preserve"> </w:t>
      </w:r>
    </w:p>
    <w:p w14:paraId="2A2B486F" w14:textId="77777777" w:rsidR="0070561F" w:rsidRPr="0070561F" w:rsidRDefault="0070561F" w:rsidP="0070561F">
      <w:pPr>
        <w:autoSpaceDE w:val="0"/>
        <w:autoSpaceDN w:val="0"/>
        <w:adjustRightInd w:val="0"/>
        <w:rPr>
          <w:rFonts w:ascii="TimesNewRoman" w:hAnsi="TimesNewRoman" w:cs="TimesNewRoman"/>
          <w:bCs/>
        </w:rPr>
      </w:pPr>
      <w:r w:rsidRPr="0070561F">
        <w:rPr>
          <w:rFonts w:ascii="TimesNewRoman" w:hAnsi="TimesNewRoman" w:cs="TimesNewRoman"/>
          <w:bCs/>
        </w:rPr>
        <w:t>This course introduces an overview of Wall Street, the back office and general brokerage operations, investment banking and capital markets. The course covers subjects essential to understanding how products, once created, are distributed and sold. The course relies heavily on The Wall Street Journal, Financial Times and other trade publications. Topics include a brief history of Wall Street, an understanding of the major securities laws and how they have changed over time, basics of equity and debt securities, creation of debt and equity securities, and pricing and sale of debt and equity securities. The course seeks to understand how and where opportunities for creating new securities arise.</w:t>
      </w:r>
    </w:p>
    <w:p w14:paraId="59869DA5" w14:textId="77777777" w:rsidR="001D1226" w:rsidRPr="00213F6F" w:rsidRDefault="001D1226" w:rsidP="001D1226">
      <w:pPr>
        <w:autoSpaceDE w:val="0"/>
        <w:autoSpaceDN w:val="0"/>
        <w:adjustRightInd w:val="0"/>
        <w:rPr>
          <w:rFonts w:ascii="TimesNewRoman" w:hAnsi="TimesNewRoman" w:cs="TimesNewRoman"/>
          <w:u w:val="single"/>
        </w:rPr>
      </w:pPr>
    </w:p>
    <w:p w14:paraId="1C5A9C2F" w14:textId="77777777" w:rsidR="001D1226" w:rsidRPr="00213F6F" w:rsidRDefault="001D1226" w:rsidP="001D1226">
      <w:pPr>
        <w:autoSpaceDE w:val="0"/>
        <w:autoSpaceDN w:val="0"/>
        <w:adjustRightInd w:val="0"/>
        <w:jc w:val="both"/>
        <w:rPr>
          <w:rFonts w:ascii="TimesNewRoman" w:hAnsi="TimesNewRoman" w:cs="TimesNewRoman"/>
        </w:rPr>
      </w:pPr>
    </w:p>
    <w:p w14:paraId="5B26775D" w14:textId="77777777" w:rsidR="001D1226" w:rsidRDefault="001D1226" w:rsidP="001D1226">
      <w:pPr>
        <w:autoSpaceDE w:val="0"/>
        <w:autoSpaceDN w:val="0"/>
        <w:adjustRightInd w:val="0"/>
        <w:jc w:val="both"/>
        <w:rPr>
          <w:rFonts w:ascii="TimesNewRoman" w:hAnsi="TimesNewRoman" w:cs="TimesNewRoman"/>
          <w:u w:val="single"/>
        </w:rPr>
      </w:pPr>
      <w:r w:rsidRPr="00213F6F">
        <w:rPr>
          <w:rFonts w:ascii="TimesNewRoman" w:hAnsi="TimesNewRoman" w:cs="TimesNewRoman"/>
          <w:u w:val="single"/>
        </w:rPr>
        <w:t xml:space="preserve">Course Objectives </w:t>
      </w:r>
    </w:p>
    <w:p w14:paraId="48FFBDFD" w14:textId="77777777" w:rsidR="008472C9" w:rsidRDefault="008472C9" w:rsidP="001D1226">
      <w:pPr>
        <w:autoSpaceDE w:val="0"/>
        <w:autoSpaceDN w:val="0"/>
        <w:adjustRightInd w:val="0"/>
        <w:jc w:val="both"/>
        <w:rPr>
          <w:rFonts w:ascii="TimesNewRoman" w:hAnsi="TimesNewRoman" w:cs="TimesNewRoman"/>
        </w:rPr>
      </w:pPr>
    </w:p>
    <w:p w14:paraId="6DBDFEC7" w14:textId="3D117CA0" w:rsidR="0070561F" w:rsidRPr="00DE6405" w:rsidRDefault="0070561F" w:rsidP="00DE6405">
      <w:pPr>
        <w:pStyle w:val="ListParagraph"/>
        <w:numPr>
          <w:ilvl w:val="0"/>
          <w:numId w:val="6"/>
        </w:numPr>
        <w:autoSpaceDE w:val="0"/>
        <w:autoSpaceDN w:val="0"/>
        <w:adjustRightInd w:val="0"/>
        <w:jc w:val="both"/>
        <w:rPr>
          <w:rFonts w:ascii="TimesNewRoman" w:hAnsi="TimesNewRoman" w:cs="TimesNewRoman"/>
          <w:bCs/>
        </w:rPr>
      </w:pPr>
      <w:r w:rsidRPr="00DE6405">
        <w:rPr>
          <w:rFonts w:ascii="TimesNewRoman" w:hAnsi="TimesNewRoman" w:cs="TimesNewRoman"/>
          <w:bCs/>
        </w:rPr>
        <w:t xml:space="preserve">Become familiar with the different businesses and key products associated with investment banking, and key concepts in the industry: hedge funds, proprietary trading, underwriting, mergers, acquisitions, market-maker, </w:t>
      </w:r>
      <w:r w:rsidR="006F1625" w:rsidRPr="00DE6405">
        <w:rPr>
          <w:rFonts w:ascii="TimesNewRoman" w:hAnsi="TimesNewRoman" w:cs="TimesNewRoman"/>
          <w:bCs/>
        </w:rPr>
        <w:t xml:space="preserve">broker-dealer </w:t>
      </w:r>
      <w:r w:rsidRPr="00DE6405">
        <w:rPr>
          <w:rFonts w:ascii="TimesNewRoman" w:hAnsi="TimesNewRoman" w:cs="TimesNewRoman"/>
          <w:bCs/>
        </w:rPr>
        <w:t>etc.</w:t>
      </w:r>
    </w:p>
    <w:p w14:paraId="435C0B07" w14:textId="77777777" w:rsidR="0070561F" w:rsidRPr="00DE6405" w:rsidRDefault="0070561F" w:rsidP="00DE6405">
      <w:pPr>
        <w:pStyle w:val="ListParagraph"/>
        <w:numPr>
          <w:ilvl w:val="0"/>
          <w:numId w:val="6"/>
        </w:numPr>
        <w:autoSpaceDE w:val="0"/>
        <w:autoSpaceDN w:val="0"/>
        <w:adjustRightInd w:val="0"/>
        <w:jc w:val="both"/>
        <w:rPr>
          <w:rFonts w:ascii="TimesNewRoman" w:hAnsi="TimesNewRoman" w:cs="TimesNewRoman"/>
          <w:bCs/>
        </w:rPr>
      </w:pPr>
      <w:r w:rsidRPr="00DE6405">
        <w:rPr>
          <w:rFonts w:ascii="TimesNewRoman" w:hAnsi="TimesNewRoman" w:cs="TimesNewRoman"/>
          <w:bCs/>
        </w:rPr>
        <w:t>Apply valuation methodologies to prepare valuation models for publicly traded company</w:t>
      </w:r>
    </w:p>
    <w:p w14:paraId="3D1FE2E9" w14:textId="77777777" w:rsidR="0070561F" w:rsidRPr="00DE6405" w:rsidRDefault="0070561F" w:rsidP="00DE6405">
      <w:pPr>
        <w:pStyle w:val="ListParagraph"/>
        <w:numPr>
          <w:ilvl w:val="0"/>
          <w:numId w:val="6"/>
        </w:numPr>
        <w:autoSpaceDE w:val="0"/>
        <w:autoSpaceDN w:val="0"/>
        <w:adjustRightInd w:val="0"/>
        <w:jc w:val="both"/>
        <w:rPr>
          <w:rFonts w:ascii="TimesNewRoman" w:hAnsi="TimesNewRoman" w:cs="TimesNewRoman"/>
          <w:bCs/>
        </w:rPr>
      </w:pPr>
      <w:r w:rsidRPr="00DE6405">
        <w:rPr>
          <w:rFonts w:ascii="TimesNewRoman" w:hAnsi="TimesNewRoman" w:cs="TimesNewRoman"/>
          <w:bCs/>
        </w:rPr>
        <w:t>Understand planning issues associated with leveraged buy-outs</w:t>
      </w:r>
    </w:p>
    <w:p w14:paraId="0FE381F8" w14:textId="77777777" w:rsidR="006F1625" w:rsidRPr="00DE6405" w:rsidRDefault="006F1625" w:rsidP="00DE6405">
      <w:pPr>
        <w:pStyle w:val="ListParagraph"/>
        <w:numPr>
          <w:ilvl w:val="0"/>
          <w:numId w:val="6"/>
        </w:numPr>
        <w:autoSpaceDE w:val="0"/>
        <w:autoSpaceDN w:val="0"/>
        <w:adjustRightInd w:val="0"/>
        <w:jc w:val="both"/>
        <w:rPr>
          <w:rFonts w:ascii="TimesNewRoman" w:hAnsi="TimesNewRoman" w:cs="TimesNewRoman"/>
          <w:bCs/>
        </w:rPr>
      </w:pPr>
      <w:r w:rsidRPr="00DE6405">
        <w:rPr>
          <w:rFonts w:ascii="TimesNewRoman" w:hAnsi="TimesNewRoman" w:cs="TimesNewRoman"/>
          <w:bCs/>
        </w:rPr>
        <w:t>Understand legal and regulatory issues relevant to the industry</w:t>
      </w:r>
    </w:p>
    <w:p w14:paraId="4E75950A" w14:textId="77777777" w:rsidR="006F1625" w:rsidRPr="0070561F" w:rsidRDefault="006F1625" w:rsidP="006F1625">
      <w:pPr>
        <w:autoSpaceDE w:val="0"/>
        <w:autoSpaceDN w:val="0"/>
        <w:adjustRightInd w:val="0"/>
        <w:ind w:left="720"/>
        <w:jc w:val="both"/>
        <w:rPr>
          <w:rFonts w:ascii="TimesNewRoman" w:hAnsi="TimesNewRoman" w:cs="TimesNewRoman"/>
          <w:bCs/>
        </w:rPr>
      </w:pPr>
    </w:p>
    <w:p w14:paraId="0B50D68B" w14:textId="77777777" w:rsidR="001D1226" w:rsidRPr="00213F6F" w:rsidRDefault="001D1226" w:rsidP="001D1226">
      <w:pPr>
        <w:autoSpaceDE w:val="0"/>
        <w:autoSpaceDN w:val="0"/>
        <w:adjustRightInd w:val="0"/>
        <w:rPr>
          <w:rFonts w:ascii="TimesNewRoman" w:hAnsi="TimesNewRoman" w:cs="TimesNewRoman"/>
          <w:u w:val="single"/>
        </w:rPr>
      </w:pPr>
    </w:p>
    <w:p w14:paraId="37435A6E" w14:textId="77777777" w:rsidR="001D1226" w:rsidRDefault="001D1226" w:rsidP="001D1226">
      <w:pPr>
        <w:autoSpaceDE w:val="0"/>
        <w:autoSpaceDN w:val="0"/>
        <w:adjustRightInd w:val="0"/>
        <w:rPr>
          <w:rFonts w:ascii="TimesNewRoman" w:hAnsi="TimesNewRoman" w:cs="TimesNewRoman"/>
          <w:u w:val="single"/>
        </w:rPr>
      </w:pPr>
      <w:r w:rsidRPr="00213F6F">
        <w:rPr>
          <w:rFonts w:ascii="TimesNewRoman" w:hAnsi="TimesNewRoman" w:cs="TimesNewRoman"/>
          <w:u w:val="single"/>
        </w:rPr>
        <w:t xml:space="preserve">Course Structure </w:t>
      </w:r>
    </w:p>
    <w:p w14:paraId="3B4C4E73" w14:textId="77777777" w:rsidR="008472C9" w:rsidRPr="00213F6F" w:rsidRDefault="008472C9" w:rsidP="001D1226">
      <w:pPr>
        <w:autoSpaceDE w:val="0"/>
        <w:autoSpaceDN w:val="0"/>
        <w:adjustRightInd w:val="0"/>
        <w:rPr>
          <w:rFonts w:ascii="TimesNewRoman" w:hAnsi="TimesNewRoman" w:cs="TimesNewRoman"/>
          <w:sz w:val="20"/>
          <w:szCs w:val="20"/>
        </w:rPr>
      </w:pPr>
    </w:p>
    <w:p w14:paraId="2DF0EFD3" w14:textId="33C5FAD5" w:rsidR="001D1226" w:rsidRPr="00213F6F" w:rsidRDefault="00802CD6" w:rsidP="001D1226">
      <w:pPr>
        <w:autoSpaceDE w:val="0"/>
        <w:autoSpaceDN w:val="0"/>
        <w:adjustRightInd w:val="0"/>
        <w:jc w:val="both"/>
        <w:rPr>
          <w:rFonts w:ascii="TimesNewRoman" w:hAnsi="TimesNewRoman" w:cs="TimesNewRoman"/>
          <w:sz w:val="20"/>
          <w:szCs w:val="20"/>
        </w:rPr>
      </w:pPr>
      <w:r>
        <w:rPr>
          <w:rFonts w:ascii="TimesNewRoman" w:hAnsi="TimesNewRoman" w:cs="TimesNewRoman"/>
        </w:rPr>
        <w:t>Detailed powerpoints are available for every lecture, in addition to the course readings.</w:t>
      </w:r>
    </w:p>
    <w:p w14:paraId="0F2D3E88" w14:textId="77777777" w:rsidR="001D1226" w:rsidRPr="00213F6F" w:rsidRDefault="001D1226" w:rsidP="001D1226">
      <w:pPr>
        <w:autoSpaceDE w:val="0"/>
        <w:autoSpaceDN w:val="0"/>
        <w:adjustRightInd w:val="0"/>
        <w:rPr>
          <w:rFonts w:ascii="TimesNewRoman" w:hAnsi="TimesNewRoman" w:cs="TimesNewRoman"/>
          <w:u w:val="single"/>
        </w:rPr>
      </w:pPr>
    </w:p>
    <w:p w14:paraId="55C4A8D1" w14:textId="77777777" w:rsidR="001D1226" w:rsidRDefault="001D1226" w:rsidP="001D1226">
      <w:pPr>
        <w:autoSpaceDE w:val="0"/>
        <w:autoSpaceDN w:val="0"/>
        <w:adjustRightInd w:val="0"/>
        <w:rPr>
          <w:rFonts w:ascii="TimesNewRoman" w:hAnsi="TimesNewRoman" w:cs="TimesNewRoman"/>
          <w:u w:val="single"/>
        </w:rPr>
      </w:pPr>
      <w:r w:rsidRPr="00213F6F">
        <w:rPr>
          <w:rFonts w:ascii="TimesNewRoman" w:hAnsi="TimesNewRoman" w:cs="TimesNewRoman"/>
          <w:u w:val="single"/>
        </w:rPr>
        <w:t xml:space="preserve">Readings </w:t>
      </w:r>
    </w:p>
    <w:p w14:paraId="748D49B7" w14:textId="76A2851D" w:rsidR="00F10A09" w:rsidRDefault="00F10A09" w:rsidP="001D1226">
      <w:pPr>
        <w:autoSpaceDE w:val="0"/>
        <w:autoSpaceDN w:val="0"/>
        <w:adjustRightInd w:val="0"/>
        <w:rPr>
          <w:rFonts w:ascii="TimesNewRoman" w:hAnsi="TimesNewRoman" w:cs="TimesNewRoman"/>
        </w:rPr>
      </w:pPr>
      <w:r w:rsidRPr="00F10A09">
        <w:rPr>
          <w:rFonts w:ascii="TimesNewRoman" w:hAnsi="TimesNewRoman" w:cs="TimesNewRoman"/>
        </w:rPr>
        <w:lastRenderedPageBreak/>
        <w:t xml:space="preserve">Specific reading assignments from the text below are intended to complement the material in lectures and discussions. Additional reading material, generally articles, </w:t>
      </w:r>
      <w:r w:rsidR="00802CD6">
        <w:rPr>
          <w:rFonts w:ascii="TimesNewRoman" w:hAnsi="TimesNewRoman" w:cs="TimesNewRoman"/>
        </w:rPr>
        <w:t>are all provided on the course website.</w:t>
      </w:r>
    </w:p>
    <w:p w14:paraId="6B51F1FB" w14:textId="77777777" w:rsidR="00F10A09" w:rsidRPr="00F10A09" w:rsidRDefault="00F10A09" w:rsidP="001D1226">
      <w:pPr>
        <w:autoSpaceDE w:val="0"/>
        <w:autoSpaceDN w:val="0"/>
        <w:adjustRightInd w:val="0"/>
        <w:rPr>
          <w:rFonts w:ascii="TimesNewRoman" w:hAnsi="TimesNewRoman" w:cs="TimesNewRoman"/>
          <w:sz w:val="20"/>
          <w:szCs w:val="20"/>
        </w:rPr>
      </w:pPr>
    </w:p>
    <w:p w14:paraId="41BD17CE" w14:textId="780520D3" w:rsidR="00F10A09" w:rsidRDefault="001D1226" w:rsidP="00F10A09">
      <w:pPr>
        <w:autoSpaceDE w:val="0"/>
        <w:autoSpaceDN w:val="0"/>
        <w:adjustRightInd w:val="0"/>
        <w:rPr>
          <w:rFonts w:ascii="TimesNewRoman" w:hAnsi="TimesNewRoman" w:cs="TimesNewRoman"/>
        </w:rPr>
      </w:pPr>
      <w:r w:rsidRPr="00213F6F">
        <w:rPr>
          <w:rFonts w:ascii="TimesNewRoman" w:hAnsi="TimesNewRoman" w:cs="TimesNewRoman"/>
        </w:rPr>
        <w:t>The required text</w:t>
      </w:r>
      <w:r w:rsidR="001F4C2E">
        <w:rPr>
          <w:rFonts w:ascii="TimesNewRoman" w:hAnsi="TimesNewRoman" w:cs="TimesNewRoman"/>
        </w:rPr>
        <w:t>s for the course are</w:t>
      </w:r>
      <w:r w:rsidRPr="00213F6F">
        <w:rPr>
          <w:rFonts w:ascii="TimesNewRoman" w:hAnsi="TimesNewRoman" w:cs="TimesNewRoman"/>
        </w:rPr>
        <w:t xml:space="preserve">: </w:t>
      </w:r>
    </w:p>
    <w:p w14:paraId="796A586E" w14:textId="77777777" w:rsidR="008472C9" w:rsidRDefault="008472C9" w:rsidP="00F10A09">
      <w:pPr>
        <w:autoSpaceDE w:val="0"/>
        <w:autoSpaceDN w:val="0"/>
        <w:adjustRightInd w:val="0"/>
        <w:rPr>
          <w:rFonts w:ascii="TimesNewRoman" w:hAnsi="TimesNewRoman" w:cs="TimesNewRoman"/>
        </w:rPr>
      </w:pPr>
    </w:p>
    <w:p w14:paraId="0E4709CA" w14:textId="52270E57" w:rsidR="00F10A09" w:rsidRPr="001F4C2E" w:rsidRDefault="00F10A09" w:rsidP="001F4C2E">
      <w:pPr>
        <w:pStyle w:val="ListParagraph"/>
        <w:numPr>
          <w:ilvl w:val="0"/>
          <w:numId w:val="5"/>
        </w:numPr>
        <w:autoSpaceDE w:val="0"/>
        <w:autoSpaceDN w:val="0"/>
        <w:adjustRightInd w:val="0"/>
        <w:rPr>
          <w:rFonts w:ascii="TimesNewRoman" w:hAnsi="TimesNewRoman" w:cs="TimesNewRoman"/>
          <w:bCs/>
        </w:rPr>
      </w:pPr>
      <w:r w:rsidRPr="00D51B27">
        <w:rPr>
          <w:rFonts w:ascii="TimesNewRoman" w:hAnsi="TimesNewRoman" w:cs="TimesNewRoman"/>
          <w:bCs/>
        </w:rPr>
        <w:t>Rosenbaum &amp; Pearl</w:t>
      </w:r>
      <w:r w:rsidR="001F4C2E">
        <w:rPr>
          <w:rFonts w:ascii="TimesNewRoman" w:hAnsi="TimesNewRoman" w:cs="TimesNewRoman"/>
          <w:bCs/>
        </w:rPr>
        <w:t xml:space="preserve"> (2013)</w:t>
      </w:r>
      <w:r w:rsidRPr="00D51B27">
        <w:rPr>
          <w:rFonts w:ascii="TimesNewRoman" w:hAnsi="TimesNewRoman" w:cs="TimesNewRoman"/>
          <w:bCs/>
        </w:rPr>
        <w:t xml:space="preserve">, </w:t>
      </w:r>
      <w:r w:rsidR="001F4C2E" w:rsidRPr="0054179D">
        <w:rPr>
          <w:rFonts w:ascii="TimesNewRoman" w:hAnsi="TimesNewRoman" w:cs="TimesNewRoman"/>
          <w:bCs/>
          <w:i/>
        </w:rPr>
        <w:t>Valuation, Leveraged Buyouts, and Mergers &amp; Acquisitions</w:t>
      </w:r>
      <w:r w:rsidR="0054179D">
        <w:rPr>
          <w:rFonts w:ascii="TimesNewRoman" w:hAnsi="TimesNewRoman" w:cs="TimesNewRoman"/>
          <w:bCs/>
        </w:rPr>
        <w:t>.</w:t>
      </w:r>
      <w:r w:rsidRPr="001F4C2E">
        <w:rPr>
          <w:rFonts w:ascii="TimesNewRoman" w:hAnsi="TimesNewRoman" w:cs="TimesNewRoman"/>
          <w:bCs/>
        </w:rPr>
        <w:t xml:space="preserve"> Wiley </w:t>
      </w:r>
      <w:r w:rsidR="0054179D">
        <w:rPr>
          <w:rFonts w:ascii="TimesNewRoman" w:hAnsi="TimesNewRoman" w:cs="TimesNewRoman"/>
          <w:bCs/>
        </w:rPr>
        <w:t>(</w:t>
      </w:r>
      <w:r w:rsidR="0054179D" w:rsidRPr="001F4C2E">
        <w:rPr>
          <w:rFonts w:ascii="TimesNewRoman" w:hAnsi="TimesNewRoman" w:cs="TimesNewRoman"/>
          <w:bCs/>
        </w:rPr>
        <w:t>2</w:t>
      </w:r>
      <w:r w:rsidR="0054179D" w:rsidRPr="001F4C2E">
        <w:rPr>
          <w:rFonts w:ascii="TimesNewRoman" w:hAnsi="TimesNewRoman" w:cs="TimesNewRoman"/>
          <w:bCs/>
          <w:vertAlign w:val="superscript"/>
        </w:rPr>
        <w:t>nd</w:t>
      </w:r>
      <w:r w:rsidR="0054179D" w:rsidRPr="001F4C2E">
        <w:rPr>
          <w:rFonts w:ascii="TimesNewRoman" w:hAnsi="TimesNewRoman" w:cs="TimesNewRoman"/>
          <w:bCs/>
        </w:rPr>
        <w:t xml:space="preserve"> edition</w:t>
      </w:r>
      <w:r w:rsidR="0054179D">
        <w:rPr>
          <w:rFonts w:ascii="TimesNewRoman" w:hAnsi="TimesNewRoman" w:cs="TimesNewRoman"/>
          <w:bCs/>
        </w:rPr>
        <w:t>)</w:t>
      </w:r>
      <w:r w:rsidRPr="001F4C2E">
        <w:rPr>
          <w:rFonts w:ascii="TimesNewRoman" w:hAnsi="TimesNewRoman" w:cs="TimesNewRoman"/>
          <w:bCs/>
        </w:rPr>
        <w:t>, ISBN-10: 1118656210</w:t>
      </w:r>
    </w:p>
    <w:p w14:paraId="564F3697" w14:textId="704300E8" w:rsidR="001D1226" w:rsidRPr="00EE6A16" w:rsidRDefault="0054179D" w:rsidP="00EE6A16">
      <w:pPr>
        <w:pStyle w:val="ListParagraph"/>
        <w:numPr>
          <w:ilvl w:val="0"/>
          <w:numId w:val="5"/>
        </w:numPr>
        <w:autoSpaceDE w:val="0"/>
        <w:autoSpaceDN w:val="0"/>
        <w:adjustRightInd w:val="0"/>
        <w:rPr>
          <w:rFonts w:ascii="TimesNewRoman" w:hAnsi="TimesNewRoman" w:cs="TimesNewRoman"/>
          <w:bCs/>
        </w:rPr>
      </w:pPr>
      <w:r w:rsidRPr="0054179D">
        <w:rPr>
          <w:rFonts w:ascii="TimesNewRoman" w:hAnsi="TimesNewRoman" w:cs="TimesNewRoman"/>
          <w:bCs/>
        </w:rPr>
        <w:t>David P. Stowell</w:t>
      </w:r>
      <w:r>
        <w:rPr>
          <w:rFonts w:ascii="TimesNewRoman" w:hAnsi="TimesNewRoman" w:cs="TimesNewRoman"/>
          <w:bCs/>
        </w:rPr>
        <w:t xml:space="preserve"> (</w:t>
      </w:r>
      <w:r w:rsidR="004C0CE4">
        <w:rPr>
          <w:rFonts w:ascii="TimesNewRoman" w:hAnsi="TimesNewRoman" w:cs="TimesNewRoman"/>
          <w:bCs/>
        </w:rPr>
        <w:t>2010</w:t>
      </w:r>
      <w:r>
        <w:rPr>
          <w:rFonts w:ascii="TimesNewRoman" w:hAnsi="TimesNewRoman" w:cs="TimesNewRoman"/>
          <w:bCs/>
        </w:rPr>
        <w:t xml:space="preserve">), </w:t>
      </w:r>
      <w:r w:rsidR="001F4C2E" w:rsidRPr="0054179D">
        <w:rPr>
          <w:rFonts w:ascii="TimesNewRoman" w:hAnsi="TimesNewRoman" w:cs="TimesNewRoman"/>
          <w:bCs/>
          <w:i/>
        </w:rPr>
        <w:t>An Introduction to Investment Banks, Hedge Funds, and Private</w:t>
      </w:r>
      <w:r w:rsidR="001F4C2E" w:rsidRPr="0054179D">
        <w:rPr>
          <w:rFonts w:ascii="TimesNewRoman" w:hAnsi="TimesNewRoman" w:cs="TimesNewRoman"/>
          <w:bCs/>
        </w:rPr>
        <w:t xml:space="preserve"> </w:t>
      </w:r>
      <w:r w:rsidR="001F4C2E" w:rsidRPr="0054179D">
        <w:rPr>
          <w:rFonts w:ascii="TimesNewRoman" w:hAnsi="TimesNewRoman" w:cs="TimesNewRoman"/>
          <w:bCs/>
          <w:i/>
        </w:rPr>
        <w:t>Equity</w:t>
      </w:r>
      <w:r w:rsidR="004C0CE4">
        <w:rPr>
          <w:rFonts w:ascii="TimesNewRoman" w:hAnsi="TimesNewRoman" w:cs="TimesNewRoman"/>
          <w:bCs/>
          <w:i/>
        </w:rPr>
        <w:t>:</w:t>
      </w:r>
      <w:r w:rsidR="001F4C2E" w:rsidRPr="0054179D">
        <w:rPr>
          <w:rFonts w:ascii="TimesNewRoman" w:hAnsi="TimesNewRoman" w:cs="TimesNewRoman"/>
          <w:bCs/>
        </w:rPr>
        <w:t xml:space="preserve"> </w:t>
      </w:r>
      <w:r w:rsidR="001F4C2E" w:rsidRPr="004C0CE4">
        <w:rPr>
          <w:rFonts w:ascii="TimesNewRoman" w:hAnsi="TimesNewRoman" w:cs="TimesNewRoman"/>
          <w:bCs/>
          <w:i/>
        </w:rPr>
        <w:t>The New Paradigm</w:t>
      </w:r>
      <w:r w:rsidR="004C0CE4">
        <w:rPr>
          <w:rFonts w:ascii="TimesNewRoman" w:hAnsi="TimesNewRoman" w:cs="TimesNewRoman"/>
          <w:bCs/>
          <w:i/>
        </w:rPr>
        <w:t xml:space="preserve">. </w:t>
      </w:r>
      <w:r w:rsidR="004C0CE4">
        <w:rPr>
          <w:rFonts w:ascii="TimesNewRoman" w:hAnsi="TimesNewRoman" w:cs="TimesNewRoman"/>
          <w:bCs/>
        </w:rPr>
        <w:t xml:space="preserve">Elsevier. </w:t>
      </w:r>
      <w:r w:rsidRPr="0054179D">
        <w:rPr>
          <w:rFonts w:ascii="TimesNewRoman" w:hAnsi="TimesNewRoman" w:cs="TimesNewRoman"/>
          <w:bCs/>
        </w:rPr>
        <w:t xml:space="preserve"> </w:t>
      </w:r>
      <w:r w:rsidR="00EE6A16" w:rsidRPr="00EE6A16">
        <w:rPr>
          <w:rFonts w:ascii="TimesNewRoman" w:hAnsi="TimesNewRoman" w:cs="TimesNewRoman"/>
          <w:bCs/>
        </w:rPr>
        <w:t>ISBN-10: 0123745039</w:t>
      </w:r>
    </w:p>
    <w:p w14:paraId="3F77B884" w14:textId="77777777" w:rsidR="00F10A09" w:rsidRPr="00213F6F" w:rsidRDefault="00F10A09" w:rsidP="001D1226">
      <w:pPr>
        <w:autoSpaceDE w:val="0"/>
        <w:autoSpaceDN w:val="0"/>
        <w:adjustRightInd w:val="0"/>
        <w:rPr>
          <w:rFonts w:ascii="TimesNewRoman" w:hAnsi="TimesNewRoman" w:cs="TimesNewRoman"/>
          <w:sz w:val="20"/>
          <w:szCs w:val="20"/>
        </w:rPr>
      </w:pPr>
    </w:p>
    <w:p w14:paraId="6EEE6FE6" w14:textId="1408ED0F" w:rsidR="001D1226" w:rsidRPr="00213F6F" w:rsidRDefault="00F10A09" w:rsidP="001D1226">
      <w:pPr>
        <w:autoSpaceDE w:val="0"/>
        <w:autoSpaceDN w:val="0"/>
        <w:adjustRightInd w:val="0"/>
        <w:rPr>
          <w:rFonts w:ascii="TimesNewRoman" w:hAnsi="TimesNewRoman"/>
        </w:rPr>
      </w:pPr>
      <w:r>
        <w:rPr>
          <w:rFonts w:ascii="TimesNewRoman" w:hAnsi="TimesNewRoman"/>
        </w:rPr>
        <w:t>B</w:t>
      </w:r>
      <w:r w:rsidR="001D1226" w:rsidRPr="00213F6F">
        <w:rPr>
          <w:rFonts w:ascii="TimesNewRoman" w:hAnsi="TimesNewRoman"/>
        </w:rPr>
        <w:t xml:space="preserve">ooks and readings </w:t>
      </w:r>
      <w:r>
        <w:rPr>
          <w:rFonts w:ascii="TimesNewRoman" w:hAnsi="TimesNewRoman"/>
        </w:rPr>
        <w:t>can be found at the</w:t>
      </w:r>
      <w:r w:rsidR="001D1226" w:rsidRPr="00213F6F">
        <w:rPr>
          <w:rFonts w:ascii="TimesNewRoman" w:hAnsi="TimesNewRoman"/>
        </w:rPr>
        <w:t xml:space="preserve"> NYU bookstore</w:t>
      </w:r>
      <w:r>
        <w:rPr>
          <w:rFonts w:ascii="TimesNewRoman" w:hAnsi="TimesNewRoman"/>
        </w:rPr>
        <w:t xml:space="preserve"> and online in </w:t>
      </w:r>
      <w:r w:rsidR="006C058C">
        <w:rPr>
          <w:rFonts w:ascii="TimesNewRoman" w:hAnsi="TimesNewRoman"/>
        </w:rPr>
        <w:t>the course website.</w:t>
      </w:r>
    </w:p>
    <w:p w14:paraId="4C47C37D" w14:textId="77777777" w:rsidR="001D1226" w:rsidRPr="00213F6F" w:rsidRDefault="001D1226" w:rsidP="001D1226">
      <w:pPr>
        <w:autoSpaceDE w:val="0"/>
        <w:autoSpaceDN w:val="0"/>
        <w:adjustRightInd w:val="0"/>
        <w:rPr>
          <w:rFonts w:ascii="TimesNewRoman" w:hAnsi="TimesNewRoman"/>
          <w:u w:val="single"/>
        </w:rPr>
      </w:pPr>
    </w:p>
    <w:p w14:paraId="782372D7" w14:textId="77777777" w:rsidR="001D1226" w:rsidRDefault="001D1226" w:rsidP="001D1226">
      <w:pPr>
        <w:autoSpaceDE w:val="0"/>
        <w:autoSpaceDN w:val="0"/>
        <w:adjustRightInd w:val="0"/>
        <w:rPr>
          <w:rFonts w:ascii="TimesNewRoman" w:hAnsi="TimesNewRoman"/>
          <w:u w:val="single"/>
        </w:rPr>
      </w:pPr>
      <w:r w:rsidRPr="00213F6F">
        <w:rPr>
          <w:rFonts w:ascii="TimesNewRoman" w:hAnsi="TimesNewRoman"/>
          <w:u w:val="single"/>
        </w:rPr>
        <w:t xml:space="preserve">Course requirements </w:t>
      </w:r>
    </w:p>
    <w:p w14:paraId="7FCF7F2D" w14:textId="77777777" w:rsidR="008472C9" w:rsidRPr="00213F6F" w:rsidRDefault="008472C9" w:rsidP="001D1226">
      <w:pPr>
        <w:autoSpaceDE w:val="0"/>
        <w:autoSpaceDN w:val="0"/>
        <w:adjustRightInd w:val="0"/>
        <w:rPr>
          <w:rFonts w:ascii="TimesNewRoman" w:hAnsi="TimesNewRoman"/>
        </w:rPr>
      </w:pPr>
    </w:p>
    <w:p w14:paraId="02F9998C" w14:textId="77777777" w:rsidR="00F10A09" w:rsidRDefault="00F10A09" w:rsidP="00F10A09">
      <w:pPr>
        <w:pStyle w:val="ListParagraph"/>
        <w:numPr>
          <w:ilvl w:val="0"/>
          <w:numId w:val="3"/>
        </w:numPr>
        <w:autoSpaceDE w:val="0"/>
        <w:autoSpaceDN w:val="0"/>
        <w:adjustRightInd w:val="0"/>
        <w:rPr>
          <w:rFonts w:ascii="TimesNewRoman" w:hAnsi="TimesNewRoman"/>
          <w:bCs/>
        </w:rPr>
      </w:pPr>
      <w:r w:rsidRPr="00F10A09">
        <w:rPr>
          <w:rFonts w:ascii="TimesNewRoman" w:hAnsi="TimesNewRoman"/>
          <w:bCs/>
        </w:rPr>
        <w:t>Studen</w:t>
      </w:r>
      <w:r>
        <w:rPr>
          <w:rFonts w:ascii="TimesNewRoman" w:hAnsi="TimesNewRoman"/>
          <w:bCs/>
        </w:rPr>
        <w:t>ts are expected to attend class on time</w:t>
      </w:r>
    </w:p>
    <w:p w14:paraId="3C8431A7" w14:textId="11C4720F" w:rsidR="00F10A09" w:rsidRDefault="00F10A09" w:rsidP="00F10A09">
      <w:pPr>
        <w:pStyle w:val="ListParagraph"/>
        <w:numPr>
          <w:ilvl w:val="0"/>
          <w:numId w:val="3"/>
        </w:numPr>
        <w:autoSpaceDE w:val="0"/>
        <w:autoSpaceDN w:val="0"/>
        <w:adjustRightInd w:val="0"/>
        <w:rPr>
          <w:rFonts w:ascii="TimesNewRoman" w:hAnsi="TimesNewRoman"/>
          <w:bCs/>
        </w:rPr>
      </w:pPr>
      <w:r>
        <w:rPr>
          <w:rFonts w:ascii="TimesNewRoman" w:hAnsi="TimesNewRoman"/>
          <w:bCs/>
        </w:rPr>
        <w:t xml:space="preserve">Complete all readings and assignments </w:t>
      </w:r>
      <w:r w:rsidR="00D04D73">
        <w:rPr>
          <w:rFonts w:ascii="TimesNewRoman" w:hAnsi="TimesNewRoman"/>
          <w:bCs/>
        </w:rPr>
        <w:t>by</w:t>
      </w:r>
      <w:r>
        <w:rPr>
          <w:rFonts w:ascii="TimesNewRoman" w:hAnsi="TimesNewRoman"/>
          <w:bCs/>
        </w:rPr>
        <w:t xml:space="preserve"> their due date</w:t>
      </w:r>
      <w:r w:rsidRPr="00F10A09">
        <w:rPr>
          <w:rFonts w:ascii="TimesNewRoman" w:hAnsi="TimesNewRoman"/>
          <w:bCs/>
        </w:rPr>
        <w:t xml:space="preserve"> </w:t>
      </w:r>
    </w:p>
    <w:p w14:paraId="4A374F85" w14:textId="77777777" w:rsidR="006F1625" w:rsidRDefault="006F1625" w:rsidP="006F1625">
      <w:pPr>
        <w:autoSpaceDE w:val="0"/>
        <w:autoSpaceDN w:val="0"/>
        <w:adjustRightInd w:val="0"/>
        <w:rPr>
          <w:rFonts w:ascii="TimesNewRoman" w:hAnsi="TimesNewRoman"/>
          <w:bCs/>
        </w:rPr>
      </w:pPr>
    </w:p>
    <w:p w14:paraId="41A46234" w14:textId="2D5D2B0A" w:rsidR="00F10A09" w:rsidRDefault="00C4580C" w:rsidP="006F1625">
      <w:pPr>
        <w:autoSpaceDE w:val="0"/>
        <w:autoSpaceDN w:val="0"/>
        <w:adjustRightInd w:val="0"/>
        <w:rPr>
          <w:rFonts w:ascii="TimesNewRoman" w:hAnsi="TimesNewRoman"/>
          <w:bCs/>
        </w:rPr>
      </w:pPr>
      <w:r>
        <w:rPr>
          <w:rFonts w:ascii="TimesNewRoman" w:hAnsi="TimesNewRoman"/>
          <w:bCs/>
          <w:u w:val="single"/>
        </w:rPr>
        <w:t xml:space="preserve">Valuation homeworks and </w:t>
      </w:r>
      <w:r w:rsidR="00F10A09" w:rsidRPr="00F10A09">
        <w:rPr>
          <w:rFonts w:ascii="TimesNewRoman" w:hAnsi="TimesNewRoman"/>
          <w:bCs/>
          <w:u w:val="single"/>
        </w:rPr>
        <w:t>Valuation project</w:t>
      </w:r>
      <w:r w:rsidR="00D04D73" w:rsidRPr="00D04D73">
        <w:rPr>
          <w:rFonts w:ascii="TimesNewRoman" w:hAnsi="TimesNewRoman"/>
          <w:bCs/>
        </w:rPr>
        <w:t xml:space="preserve"> |</w:t>
      </w:r>
      <w:r w:rsidR="00D04D73">
        <w:rPr>
          <w:rFonts w:ascii="TimesNewRoman" w:hAnsi="TimesNewRoman"/>
          <w:bCs/>
        </w:rPr>
        <w:t xml:space="preserve"> </w:t>
      </w:r>
      <w:r w:rsidR="001B63C7">
        <w:rPr>
          <w:rFonts w:ascii="TimesNewRoman" w:hAnsi="TimesNewRoman"/>
          <w:bCs/>
        </w:rPr>
        <w:t>| 5</w:t>
      </w:r>
      <w:r w:rsidR="00D04D73">
        <w:rPr>
          <w:rFonts w:ascii="TimesNewRoman" w:hAnsi="TimesNewRoman"/>
          <w:bCs/>
        </w:rPr>
        <w:t>0% of final grade</w:t>
      </w:r>
    </w:p>
    <w:p w14:paraId="6CA34C06" w14:textId="77777777" w:rsidR="00D04D73" w:rsidRDefault="00D04D73" w:rsidP="001B63C7">
      <w:pPr>
        <w:autoSpaceDE w:val="0"/>
        <w:autoSpaceDN w:val="0"/>
        <w:adjustRightInd w:val="0"/>
        <w:rPr>
          <w:rFonts w:ascii="TimesNewRoman" w:hAnsi="TimesNewRoman"/>
          <w:bCs/>
        </w:rPr>
      </w:pPr>
    </w:p>
    <w:p w14:paraId="0EF21787" w14:textId="27F4E6AF" w:rsidR="00D04D73" w:rsidRPr="00F10A09" w:rsidRDefault="00D04D73" w:rsidP="006F1625">
      <w:pPr>
        <w:autoSpaceDE w:val="0"/>
        <w:autoSpaceDN w:val="0"/>
        <w:adjustRightInd w:val="0"/>
        <w:rPr>
          <w:rFonts w:ascii="TimesNewRoman" w:hAnsi="TimesNewRoman"/>
          <w:bCs/>
          <w:u w:val="single"/>
        </w:rPr>
      </w:pPr>
      <w:r>
        <w:rPr>
          <w:rFonts w:ascii="TimesNewRoman" w:hAnsi="TimesNewRoman"/>
          <w:bCs/>
          <w:u w:val="single"/>
        </w:rPr>
        <w:t>Final exam</w:t>
      </w:r>
      <w:r w:rsidRPr="00D04D73">
        <w:rPr>
          <w:rFonts w:ascii="TimesNewRoman" w:hAnsi="TimesNewRoman"/>
          <w:bCs/>
        </w:rPr>
        <w:t xml:space="preserve"> |</w:t>
      </w:r>
      <w:r>
        <w:rPr>
          <w:rFonts w:ascii="TimesNewRoman" w:hAnsi="TimesNewRoman"/>
          <w:bCs/>
        </w:rPr>
        <w:t xml:space="preserve"> </w:t>
      </w:r>
      <w:r w:rsidR="001B63C7">
        <w:rPr>
          <w:rFonts w:ascii="TimesNewRoman" w:hAnsi="TimesNewRoman"/>
          <w:bCs/>
        </w:rPr>
        <w:t>| 5</w:t>
      </w:r>
      <w:r w:rsidRPr="00277245">
        <w:rPr>
          <w:rFonts w:ascii="TimesNewRoman" w:hAnsi="TimesNewRoman"/>
          <w:bCs/>
        </w:rPr>
        <w:t>0% of final grade</w:t>
      </w:r>
    </w:p>
    <w:p w14:paraId="2F9765C0" w14:textId="77777777" w:rsidR="00D04D73" w:rsidRPr="00D04D73" w:rsidRDefault="00D04D73" w:rsidP="00D04D73">
      <w:pPr>
        <w:autoSpaceDE w:val="0"/>
        <w:autoSpaceDN w:val="0"/>
        <w:adjustRightInd w:val="0"/>
        <w:ind w:left="360"/>
        <w:rPr>
          <w:rFonts w:ascii="TimesNewRoman" w:hAnsi="TimesNewRoman"/>
          <w:bCs/>
        </w:rPr>
      </w:pPr>
      <w:r w:rsidRPr="00D04D73">
        <w:rPr>
          <w:rFonts w:ascii="TimesNewRoman" w:hAnsi="TimesNewRoman"/>
          <w:bCs/>
        </w:rPr>
        <w:t>The final will consist in a combination of true / false, multiple choice and short essay questions. A detailed study guide will be distributed beforehand.</w:t>
      </w:r>
    </w:p>
    <w:p w14:paraId="48C25B6B" w14:textId="77777777" w:rsidR="005F3351" w:rsidRDefault="005F3351" w:rsidP="001D1226">
      <w:pPr>
        <w:autoSpaceDE w:val="0"/>
        <w:autoSpaceDN w:val="0"/>
        <w:adjustRightInd w:val="0"/>
        <w:rPr>
          <w:rFonts w:ascii="TimesNewRoman" w:hAnsi="TimesNewRoman"/>
          <w:bCs/>
        </w:rPr>
      </w:pPr>
    </w:p>
    <w:p w14:paraId="271B2DBA" w14:textId="77777777" w:rsidR="001B63C7" w:rsidRPr="00213F6F" w:rsidRDefault="001B63C7" w:rsidP="001D1226">
      <w:pPr>
        <w:autoSpaceDE w:val="0"/>
        <w:autoSpaceDN w:val="0"/>
        <w:adjustRightInd w:val="0"/>
        <w:rPr>
          <w:rFonts w:ascii="TimesNewRoman" w:hAnsi="TimesNewRoman"/>
        </w:rPr>
      </w:pPr>
    </w:p>
    <w:p w14:paraId="511C6F4D" w14:textId="74DBD90F" w:rsidR="001D1226" w:rsidRPr="006E6E0A" w:rsidRDefault="00DE6405" w:rsidP="001D1226">
      <w:pPr>
        <w:tabs>
          <w:tab w:val="left" w:pos="900"/>
        </w:tabs>
        <w:autoSpaceDE w:val="0"/>
        <w:autoSpaceDN w:val="0"/>
        <w:adjustRightInd w:val="0"/>
        <w:rPr>
          <w:rFonts w:ascii="TimesNewRoman" w:hAnsi="TimesNewRoman"/>
          <w:b/>
          <w:u w:val="single"/>
        </w:rPr>
      </w:pPr>
      <w:r>
        <w:rPr>
          <w:rFonts w:ascii="TimesNewRoman" w:hAnsi="TimesNewRoman"/>
          <w:b/>
          <w:u w:val="single"/>
        </w:rPr>
        <w:t>Nov 5</w:t>
      </w:r>
      <w:r w:rsidR="006E6E0A" w:rsidRPr="006E6E0A">
        <w:rPr>
          <w:rFonts w:ascii="TimesNewRoman" w:hAnsi="TimesNewRoman"/>
          <w:b/>
          <w:u w:val="single"/>
        </w:rPr>
        <w:t>.</w:t>
      </w:r>
      <w:r w:rsidR="003D4862" w:rsidRPr="006E6E0A">
        <w:rPr>
          <w:rFonts w:ascii="TimesNewRoman" w:hAnsi="TimesNewRoman"/>
          <w:b/>
          <w:u w:val="single"/>
        </w:rPr>
        <w:t xml:space="preserve">  </w:t>
      </w:r>
      <w:r w:rsidR="006E6E0A">
        <w:rPr>
          <w:rFonts w:ascii="TimesNewRoman,Bold" w:hAnsi="TimesNewRoman,Bold" w:cs="TimesNewRoman,Bold"/>
          <w:b/>
          <w:bCs/>
          <w:u w:val="single"/>
        </w:rPr>
        <w:t>Introduction</w:t>
      </w:r>
      <w:r w:rsidR="00D51B27" w:rsidRPr="006E6E0A">
        <w:rPr>
          <w:rFonts w:ascii="TimesNewRoman,Bold" w:hAnsi="TimesNewRoman,Bold" w:cs="TimesNewRoman,Bold"/>
          <w:b/>
          <w:bCs/>
          <w:u w:val="single"/>
        </w:rPr>
        <w:t xml:space="preserve">, key products, </w:t>
      </w:r>
      <w:r w:rsidR="006C5945" w:rsidRPr="006E6E0A">
        <w:rPr>
          <w:rFonts w:ascii="TimesNewRoman,Bold" w:hAnsi="TimesNewRoman,Bold" w:cs="TimesNewRoman,Bold"/>
          <w:b/>
          <w:bCs/>
          <w:u w:val="single"/>
        </w:rPr>
        <w:t>commercial banking and investment banking</w:t>
      </w:r>
    </w:p>
    <w:p w14:paraId="003271C1" w14:textId="77777777" w:rsidR="006C5945" w:rsidRDefault="006C5945" w:rsidP="006C5945">
      <w:pPr>
        <w:autoSpaceDE w:val="0"/>
        <w:autoSpaceDN w:val="0"/>
        <w:adjustRightInd w:val="0"/>
        <w:rPr>
          <w:rFonts w:ascii="TimesNewRoman" w:hAnsi="TimesNewRoman"/>
          <w:bCs/>
        </w:rPr>
      </w:pPr>
    </w:p>
    <w:p w14:paraId="5586C143" w14:textId="2F786B39" w:rsidR="00EE6A16" w:rsidRDefault="00EE6A16" w:rsidP="006C5945">
      <w:pPr>
        <w:autoSpaceDE w:val="0"/>
        <w:autoSpaceDN w:val="0"/>
        <w:adjustRightInd w:val="0"/>
        <w:rPr>
          <w:rFonts w:ascii="TimesNewRoman" w:hAnsi="TimesNewRoman"/>
          <w:bCs/>
        </w:rPr>
      </w:pPr>
      <w:r>
        <w:rPr>
          <w:rFonts w:ascii="TimesNewRoman" w:hAnsi="TimesNewRoman"/>
          <w:bCs/>
        </w:rPr>
        <w:t>Stowell (2010). [</w:t>
      </w:r>
      <w:r w:rsidR="00A9740E">
        <w:rPr>
          <w:rFonts w:ascii="TimesNewRoman" w:hAnsi="TimesNewRoman"/>
          <w:bCs/>
        </w:rPr>
        <w:t>Ch. 1-3, 5-</w:t>
      </w:r>
      <w:r w:rsidR="002D55DE">
        <w:rPr>
          <w:rFonts w:ascii="TimesNewRoman" w:hAnsi="TimesNewRoman"/>
          <w:bCs/>
        </w:rPr>
        <w:t>6]</w:t>
      </w:r>
    </w:p>
    <w:p w14:paraId="7CE46F23" w14:textId="77777777" w:rsidR="00EE6A16" w:rsidRDefault="00EE6A16" w:rsidP="006C5945">
      <w:pPr>
        <w:autoSpaceDE w:val="0"/>
        <w:autoSpaceDN w:val="0"/>
        <w:adjustRightInd w:val="0"/>
        <w:rPr>
          <w:rFonts w:ascii="TimesNewRoman" w:hAnsi="TimesNewRoman"/>
          <w:bCs/>
        </w:rPr>
      </w:pPr>
    </w:p>
    <w:p w14:paraId="2DB10048" w14:textId="7FB2794D" w:rsidR="00EE6A16" w:rsidRPr="00EE6A16" w:rsidRDefault="00EE6A16" w:rsidP="006C5945">
      <w:pPr>
        <w:autoSpaceDE w:val="0"/>
        <w:autoSpaceDN w:val="0"/>
        <w:adjustRightInd w:val="0"/>
        <w:rPr>
          <w:rFonts w:ascii="TimesNewRoman" w:hAnsi="TimesNewRoman"/>
          <w:bCs/>
          <w:u w:val="single"/>
        </w:rPr>
      </w:pPr>
      <w:r w:rsidRPr="00EE6A16">
        <w:rPr>
          <w:rFonts w:ascii="TimesNewRoman" w:hAnsi="TimesNewRoman"/>
          <w:bCs/>
          <w:u w:val="single"/>
        </w:rPr>
        <w:t>Additional readings:</w:t>
      </w:r>
    </w:p>
    <w:p w14:paraId="7A6494EE" w14:textId="77777777" w:rsidR="00EE6A16" w:rsidRDefault="00EE6A16" w:rsidP="006C5945">
      <w:pPr>
        <w:autoSpaceDE w:val="0"/>
        <w:autoSpaceDN w:val="0"/>
        <w:adjustRightInd w:val="0"/>
        <w:rPr>
          <w:rFonts w:ascii="TimesNewRoman" w:hAnsi="TimesNewRoman"/>
          <w:bCs/>
        </w:rPr>
      </w:pPr>
    </w:p>
    <w:p w14:paraId="2348EBBA" w14:textId="61468421" w:rsidR="006C5945" w:rsidRDefault="006C5945" w:rsidP="006C5945">
      <w:pPr>
        <w:autoSpaceDE w:val="0"/>
        <w:autoSpaceDN w:val="0"/>
        <w:adjustRightInd w:val="0"/>
        <w:rPr>
          <w:rFonts w:ascii="TimesNewRoman" w:hAnsi="TimesNewRoman"/>
          <w:bCs/>
        </w:rPr>
      </w:pPr>
      <w:r w:rsidRPr="006C5945">
        <w:rPr>
          <w:rFonts w:ascii="TimesNewRoman" w:hAnsi="TimesNewRoman"/>
          <w:bCs/>
        </w:rPr>
        <w:t>Werner</w:t>
      </w:r>
      <w:r>
        <w:rPr>
          <w:rFonts w:ascii="TimesNewRoman" w:hAnsi="TimesNewRoman"/>
          <w:bCs/>
        </w:rPr>
        <w:t xml:space="preserve"> (2016). </w:t>
      </w:r>
      <w:r>
        <w:rPr>
          <w:rFonts w:ascii="TimesNewRoman" w:hAnsi="TimesNewRoman"/>
          <w:bCs/>
        </w:rPr>
        <w:t>“</w:t>
      </w:r>
      <w:r w:rsidRPr="006C5945">
        <w:rPr>
          <w:rFonts w:ascii="TimesNewRoman" w:hAnsi="TimesNewRoman"/>
          <w:bCs/>
        </w:rPr>
        <w:t>A lost century in economics: Three theories of banking and the conclusive evidence</w:t>
      </w:r>
      <w:r>
        <w:rPr>
          <w:rFonts w:ascii="TimesNewRoman" w:hAnsi="TimesNewRoman"/>
          <w:bCs/>
        </w:rPr>
        <w:t>.</w:t>
      </w:r>
      <w:r>
        <w:rPr>
          <w:rFonts w:ascii="MS Mincho" w:eastAsia="MS Mincho" w:hAnsi="MS Mincho" w:cs="MS Mincho"/>
          <w:bCs/>
        </w:rPr>
        <w:t>”</w:t>
      </w:r>
      <w:r w:rsidRPr="006C5945">
        <w:rPr>
          <w:rFonts w:ascii="TimesNewRoman" w:hAnsi="TimesNewRoman"/>
          <w:bCs/>
          <w:i/>
        </w:rPr>
        <w:t>International Review of Financial Analysis</w:t>
      </w:r>
      <w:r>
        <w:rPr>
          <w:rFonts w:ascii="TimesNewRoman" w:hAnsi="TimesNewRoman"/>
          <w:bCs/>
        </w:rPr>
        <w:t xml:space="preserve"> 46: </w:t>
      </w:r>
      <w:r w:rsidRPr="006C5945">
        <w:rPr>
          <w:rFonts w:ascii="TimesNewRoman" w:hAnsi="TimesNewRoman"/>
          <w:bCs/>
        </w:rPr>
        <w:t>361–379</w:t>
      </w:r>
      <w:r>
        <w:rPr>
          <w:rFonts w:ascii="TimesNewRoman" w:hAnsi="TimesNewRoman"/>
          <w:bCs/>
        </w:rPr>
        <w:t xml:space="preserve">. </w:t>
      </w:r>
    </w:p>
    <w:p w14:paraId="27182A94" w14:textId="77777777" w:rsidR="006C5945" w:rsidRDefault="006C5945" w:rsidP="006C5945">
      <w:pPr>
        <w:autoSpaceDE w:val="0"/>
        <w:autoSpaceDN w:val="0"/>
        <w:adjustRightInd w:val="0"/>
        <w:rPr>
          <w:rFonts w:ascii="TimesNewRoman" w:hAnsi="TimesNewRoman"/>
          <w:bCs/>
        </w:rPr>
      </w:pPr>
    </w:p>
    <w:p w14:paraId="25BD14BA" w14:textId="6947CD9D" w:rsidR="006C5945" w:rsidRPr="006C5945" w:rsidRDefault="00DC1871" w:rsidP="006C5945">
      <w:pPr>
        <w:autoSpaceDE w:val="0"/>
        <w:autoSpaceDN w:val="0"/>
        <w:adjustRightInd w:val="0"/>
        <w:rPr>
          <w:rFonts w:ascii="TimesNewRoman" w:hAnsi="TimesNewRoman"/>
          <w:bCs/>
        </w:rPr>
      </w:pPr>
      <w:r w:rsidRPr="006C5945">
        <w:rPr>
          <w:rFonts w:ascii="TimesNewRoman" w:hAnsi="TimesNewRoman"/>
          <w:bCs/>
        </w:rPr>
        <w:t>Werner</w:t>
      </w:r>
      <w:r>
        <w:rPr>
          <w:rFonts w:ascii="TimesNewRoman" w:hAnsi="TimesNewRoman"/>
          <w:bCs/>
        </w:rPr>
        <w:t xml:space="preserve"> (</w:t>
      </w:r>
      <w:r w:rsidR="00B90E2F">
        <w:rPr>
          <w:rFonts w:ascii="TimesNewRoman" w:hAnsi="TimesNewRoman"/>
          <w:bCs/>
        </w:rPr>
        <w:t>2014</w:t>
      </w:r>
      <w:r>
        <w:rPr>
          <w:rFonts w:ascii="TimesNewRoman" w:hAnsi="TimesNewRoman"/>
          <w:bCs/>
        </w:rPr>
        <w:t>)</w:t>
      </w:r>
      <w:r>
        <w:rPr>
          <w:rFonts w:ascii="TimesNewRoman" w:hAnsi="TimesNewRoman"/>
          <w:bCs/>
        </w:rPr>
        <w:t xml:space="preserve"> “</w:t>
      </w:r>
      <w:r w:rsidR="006C5945" w:rsidRPr="006C5945">
        <w:rPr>
          <w:rFonts w:ascii="TimesNewRoman" w:hAnsi="TimesNewRoman"/>
          <w:bCs/>
        </w:rPr>
        <w:t>Can banks individually create money out of nothing? — The theories and the empirical evidence</w:t>
      </w:r>
      <w:r>
        <w:rPr>
          <w:rFonts w:ascii="TimesNewRoman" w:hAnsi="TimesNewRoman"/>
          <w:bCs/>
        </w:rPr>
        <w:t xml:space="preserve">.” </w:t>
      </w:r>
      <w:r w:rsidRPr="00DC1871">
        <w:rPr>
          <w:rFonts w:ascii="TimesNewRoman" w:hAnsi="TimesNewRoman"/>
          <w:bCs/>
          <w:i/>
        </w:rPr>
        <w:t>International Review of Financial Analysis</w:t>
      </w:r>
      <w:r>
        <w:rPr>
          <w:rFonts w:ascii="TimesNewRoman" w:hAnsi="TimesNewRoman"/>
          <w:bCs/>
        </w:rPr>
        <w:t xml:space="preserve"> 36: </w:t>
      </w:r>
      <w:r w:rsidRPr="00DC1871">
        <w:rPr>
          <w:rFonts w:ascii="TimesNewRoman" w:hAnsi="TimesNewRoman"/>
          <w:bCs/>
        </w:rPr>
        <w:t>1–19</w:t>
      </w:r>
    </w:p>
    <w:p w14:paraId="652627E3" w14:textId="77777777" w:rsidR="006C5945" w:rsidRDefault="006C5945" w:rsidP="006C5945">
      <w:pPr>
        <w:autoSpaceDE w:val="0"/>
        <w:autoSpaceDN w:val="0"/>
        <w:adjustRightInd w:val="0"/>
        <w:rPr>
          <w:rFonts w:ascii="TimesNewRoman" w:hAnsi="TimesNewRoman"/>
          <w:bCs/>
        </w:rPr>
      </w:pPr>
    </w:p>
    <w:p w14:paraId="0F3C2806" w14:textId="02A7E1E5" w:rsidR="00B90E2F" w:rsidRPr="00B90E2F" w:rsidRDefault="00B90E2F" w:rsidP="00B90E2F">
      <w:pPr>
        <w:autoSpaceDE w:val="0"/>
        <w:autoSpaceDN w:val="0"/>
        <w:adjustRightInd w:val="0"/>
        <w:rPr>
          <w:rFonts w:ascii="TimesNewRoman" w:hAnsi="TimesNewRoman" w:cstheme="minorBidi"/>
          <w:bCs/>
          <w:lang w:eastAsia="ja-JP"/>
        </w:rPr>
      </w:pPr>
      <w:r w:rsidRPr="006C5945">
        <w:rPr>
          <w:rFonts w:ascii="TimesNewRoman" w:hAnsi="TimesNewRoman"/>
          <w:bCs/>
        </w:rPr>
        <w:t>Werner</w:t>
      </w:r>
      <w:r>
        <w:rPr>
          <w:rFonts w:ascii="TimesNewRoman" w:hAnsi="TimesNewRoman"/>
          <w:bCs/>
        </w:rPr>
        <w:t xml:space="preserve"> (2014)</w:t>
      </w:r>
      <w:r>
        <w:rPr>
          <w:rFonts w:ascii="TimesNewRoman" w:hAnsi="TimesNewRoman"/>
          <w:bCs/>
        </w:rPr>
        <w:t xml:space="preserve"> “</w:t>
      </w:r>
      <w:r w:rsidRPr="00B90E2F">
        <w:rPr>
          <w:rFonts w:ascii="TimesNewRoman" w:hAnsi="TimesNewRoman" w:cstheme="minorBidi"/>
          <w:bCs/>
          <w:lang w:eastAsia="ja-JP"/>
        </w:rPr>
        <w:t>How do banks create money, and why can other firms not do the same? An explanation for the coexistence of lending and deposit-taking</w:t>
      </w:r>
      <w:r>
        <w:rPr>
          <w:rFonts w:ascii="TimesNewRoman" w:hAnsi="TimesNewRoman" w:cstheme="minorBidi"/>
          <w:bCs/>
          <w:lang w:eastAsia="ja-JP"/>
        </w:rPr>
        <w:t xml:space="preserve">.” </w:t>
      </w:r>
      <w:r w:rsidRPr="00B90E2F">
        <w:rPr>
          <w:rFonts w:ascii="TimesNewRoman" w:hAnsi="TimesNewRoman" w:cstheme="minorBidi"/>
          <w:bCs/>
          <w:i/>
          <w:lang w:eastAsia="ja-JP"/>
        </w:rPr>
        <w:t>International Review of Financial Analysis</w:t>
      </w:r>
      <w:r>
        <w:rPr>
          <w:rFonts w:ascii="TimesNewRoman" w:hAnsi="TimesNewRoman" w:cstheme="minorBidi"/>
          <w:bCs/>
          <w:lang w:eastAsia="ja-JP"/>
        </w:rPr>
        <w:t xml:space="preserve"> 36:</w:t>
      </w:r>
      <w:r w:rsidRPr="00B90E2F">
        <w:rPr>
          <w:rFonts w:ascii="TimesNewRoman" w:hAnsi="TimesNewRoman" w:cstheme="minorBidi"/>
          <w:bCs/>
          <w:lang w:eastAsia="ja-JP"/>
        </w:rPr>
        <w:t xml:space="preserve"> 71–77</w:t>
      </w:r>
    </w:p>
    <w:p w14:paraId="6A1710C0" w14:textId="77777777" w:rsidR="00B90E2F" w:rsidRPr="006C5945" w:rsidRDefault="00B90E2F" w:rsidP="006C5945">
      <w:pPr>
        <w:autoSpaceDE w:val="0"/>
        <w:autoSpaceDN w:val="0"/>
        <w:adjustRightInd w:val="0"/>
        <w:rPr>
          <w:rFonts w:ascii="TimesNewRoman" w:hAnsi="TimesNewRoman"/>
          <w:bCs/>
        </w:rPr>
      </w:pPr>
    </w:p>
    <w:p w14:paraId="6FADD1C4" w14:textId="0D0E91BA" w:rsidR="006872A5" w:rsidRPr="006872A5" w:rsidRDefault="001F7E83" w:rsidP="001F7E83">
      <w:pPr>
        <w:autoSpaceDE w:val="0"/>
        <w:autoSpaceDN w:val="0"/>
        <w:adjustRightInd w:val="0"/>
        <w:rPr>
          <w:rFonts w:ascii="TimesNewRoman" w:hAnsi="TimesNewRoman"/>
          <w:bCs/>
        </w:rPr>
      </w:pPr>
      <w:r>
        <w:rPr>
          <w:rFonts w:ascii="TimesNewRoman" w:hAnsi="TimesNewRoman"/>
          <w:bCs/>
        </w:rPr>
        <w:t>New York Times (2008)</w:t>
      </w:r>
      <w:r w:rsidRPr="006872A5">
        <w:rPr>
          <w:rFonts w:ascii="TimesNewRoman" w:hAnsi="TimesNewRoman"/>
          <w:bCs/>
        </w:rPr>
        <w:t xml:space="preserve"> </w:t>
      </w:r>
      <w:r w:rsidR="006872A5" w:rsidRPr="006872A5">
        <w:rPr>
          <w:rFonts w:ascii="TimesNewRoman" w:hAnsi="TimesNewRoman"/>
          <w:bCs/>
        </w:rPr>
        <w:t>“As Goldman and Morgan Shift, a Wall St. Era Ends”</w:t>
      </w:r>
    </w:p>
    <w:p w14:paraId="2FA7B7B2" w14:textId="77777777" w:rsidR="001F7E83" w:rsidRDefault="001F7E83" w:rsidP="001F7E83">
      <w:pPr>
        <w:autoSpaceDE w:val="0"/>
        <w:autoSpaceDN w:val="0"/>
        <w:adjustRightInd w:val="0"/>
        <w:rPr>
          <w:rFonts w:ascii="TimesNewRoman" w:hAnsi="TimesNewRoman"/>
          <w:bCs/>
        </w:rPr>
      </w:pPr>
    </w:p>
    <w:p w14:paraId="795C5D84" w14:textId="503EF6F1" w:rsidR="006872A5" w:rsidRPr="006872A5" w:rsidRDefault="001F7E83" w:rsidP="001F7E83">
      <w:pPr>
        <w:autoSpaceDE w:val="0"/>
        <w:autoSpaceDN w:val="0"/>
        <w:adjustRightInd w:val="0"/>
        <w:rPr>
          <w:rFonts w:ascii="TimesNewRoman" w:hAnsi="TimesNewRoman"/>
          <w:bCs/>
        </w:rPr>
      </w:pPr>
      <w:r>
        <w:rPr>
          <w:rFonts w:ascii="TimesNewRoman" w:hAnsi="TimesNewRoman"/>
          <w:bCs/>
        </w:rPr>
        <w:lastRenderedPageBreak/>
        <w:t xml:space="preserve">New York Times (2012). </w:t>
      </w:r>
      <w:r w:rsidR="006872A5" w:rsidRPr="006872A5">
        <w:rPr>
          <w:rFonts w:ascii="TimesNewRoman" w:hAnsi="TimesNewRoman"/>
          <w:bCs/>
        </w:rPr>
        <w:t>“Banks Tread a Fine Line in Trading”</w:t>
      </w:r>
    </w:p>
    <w:p w14:paraId="46521DDF" w14:textId="77777777" w:rsidR="001F7E83" w:rsidRDefault="001F7E83" w:rsidP="001F7E83">
      <w:pPr>
        <w:autoSpaceDE w:val="0"/>
        <w:autoSpaceDN w:val="0"/>
        <w:adjustRightInd w:val="0"/>
        <w:rPr>
          <w:rFonts w:ascii="TimesNewRoman" w:hAnsi="TimesNewRoman"/>
          <w:bCs/>
        </w:rPr>
      </w:pPr>
    </w:p>
    <w:p w14:paraId="3E54B864" w14:textId="162461A4" w:rsidR="006872A5" w:rsidRPr="006872A5" w:rsidRDefault="006E6E0A" w:rsidP="001F7E83">
      <w:pPr>
        <w:autoSpaceDE w:val="0"/>
        <w:autoSpaceDN w:val="0"/>
        <w:adjustRightInd w:val="0"/>
        <w:rPr>
          <w:rFonts w:ascii="TimesNewRoman" w:hAnsi="TimesNewRoman"/>
        </w:rPr>
      </w:pPr>
      <w:r>
        <w:rPr>
          <w:rFonts w:ascii="TimesNewRoman" w:hAnsi="TimesNewRoman"/>
          <w:bCs/>
        </w:rPr>
        <w:t xml:space="preserve">Lewis (2010). </w:t>
      </w:r>
      <w:r w:rsidR="006872A5" w:rsidRPr="006872A5">
        <w:rPr>
          <w:rFonts w:ascii="TimesNewRoman" w:hAnsi="TimesNewRoman"/>
          <w:bCs/>
        </w:rPr>
        <w:t>“</w:t>
      </w:r>
      <w:r w:rsidR="006872A5" w:rsidRPr="006872A5">
        <w:rPr>
          <w:rFonts w:ascii="TimesNewRoman" w:hAnsi="TimesNewRoman"/>
        </w:rPr>
        <w:t>Propr</w:t>
      </w:r>
      <w:r>
        <w:rPr>
          <w:rFonts w:ascii="TimesNewRoman" w:hAnsi="TimesNewRoman"/>
        </w:rPr>
        <w:t>ietary Trading Goes Under Cover</w:t>
      </w:r>
      <w:r w:rsidR="006872A5" w:rsidRPr="006872A5">
        <w:rPr>
          <w:rFonts w:ascii="TimesNewRoman" w:hAnsi="TimesNewRoman"/>
        </w:rPr>
        <w:t>”</w:t>
      </w:r>
      <w:r>
        <w:rPr>
          <w:rFonts w:ascii="TimesNewRoman" w:hAnsi="TimesNewRoman"/>
        </w:rPr>
        <w:t>. Bloomberg.</w:t>
      </w:r>
    </w:p>
    <w:p w14:paraId="20F434DC" w14:textId="77777777" w:rsidR="006E6E0A" w:rsidRDefault="006E6E0A" w:rsidP="006E6E0A">
      <w:pPr>
        <w:autoSpaceDE w:val="0"/>
        <w:autoSpaceDN w:val="0"/>
        <w:adjustRightInd w:val="0"/>
        <w:rPr>
          <w:rFonts w:ascii="TimesNewRoman" w:hAnsi="TimesNewRoman"/>
          <w:bCs/>
        </w:rPr>
      </w:pPr>
    </w:p>
    <w:p w14:paraId="21D97346" w14:textId="043F57AD" w:rsidR="006872A5" w:rsidRPr="006872A5" w:rsidRDefault="006E6E0A" w:rsidP="006E6E0A">
      <w:pPr>
        <w:autoSpaceDE w:val="0"/>
        <w:autoSpaceDN w:val="0"/>
        <w:adjustRightInd w:val="0"/>
        <w:rPr>
          <w:rFonts w:ascii="TimesNewRoman" w:hAnsi="TimesNewRoman"/>
        </w:rPr>
      </w:pPr>
      <w:r>
        <w:rPr>
          <w:rFonts w:ascii="TimesNewRoman" w:hAnsi="TimesNewRoman"/>
          <w:bCs/>
        </w:rPr>
        <w:t xml:space="preserve">Lewis (2010). </w:t>
      </w:r>
      <w:r w:rsidR="006872A5" w:rsidRPr="006872A5">
        <w:rPr>
          <w:rFonts w:ascii="TimesNewRoman" w:hAnsi="TimesNewRoman"/>
          <w:bCs/>
        </w:rPr>
        <w:t>“</w:t>
      </w:r>
      <w:r w:rsidR="006872A5" w:rsidRPr="006872A5">
        <w:rPr>
          <w:rFonts w:ascii="TimesNewRoman" w:hAnsi="TimesNewRoman"/>
        </w:rPr>
        <w:t>The Mystery of Disappearing Pr</w:t>
      </w:r>
      <w:r>
        <w:rPr>
          <w:rFonts w:ascii="TimesNewRoman" w:hAnsi="TimesNewRoman"/>
        </w:rPr>
        <w:t>oprietary Traders</w:t>
      </w:r>
      <w:r w:rsidR="006872A5" w:rsidRPr="006872A5">
        <w:rPr>
          <w:rFonts w:ascii="TimesNewRoman" w:hAnsi="TimesNewRoman"/>
        </w:rPr>
        <w:t>”</w:t>
      </w:r>
      <w:r>
        <w:rPr>
          <w:rFonts w:ascii="TimesNewRoman" w:hAnsi="TimesNewRoman"/>
        </w:rPr>
        <w:t xml:space="preserve"> </w:t>
      </w:r>
      <w:r>
        <w:rPr>
          <w:rFonts w:ascii="TimesNewRoman" w:hAnsi="TimesNewRoman"/>
        </w:rPr>
        <w:t>Bloomberg.</w:t>
      </w:r>
    </w:p>
    <w:p w14:paraId="0669B687" w14:textId="77777777" w:rsidR="006E6E0A" w:rsidRDefault="006E6E0A" w:rsidP="006E6E0A">
      <w:pPr>
        <w:autoSpaceDE w:val="0"/>
        <w:autoSpaceDN w:val="0"/>
        <w:adjustRightInd w:val="0"/>
        <w:rPr>
          <w:rFonts w:ascii="TimesNewRoman" w:hAnsi="TimesNewRoman"/>
          <w:bCs/>
        </w:rPr>
      </w:pPr>
    </w:p>
    <w:p w14:paraId="0D02C481" w14:textId="4F756818" w:rsidR="006872A5" w:rsidRPr="006872A5" w:rsidRDefault="00DE6405" w:rsidP="006E6E0A">
      <w:pPr>
        <w:autoSpaceDE w:val="0"/>
        <w:autoSpaceDN w:val="0"/>
        <w:adjustRightInd w:val="0"/>
        <w:rPr>
          <w:rFonts w:ascii="TimesNewRoman" w:hAnsi="TimesNewRoman"/>
          <w:bCs/>
        </w:rPr>
      </w:pPr>
      <w:r>
        <w:rPr>
          <w:rFonts w:ascii="TimesNewRoman" w:hAnsi="TimesNewRoman"/>
          <w:bCs/>
        </w:rPr>
        <w:t xml:space="preserve">HuffPost (2011) </w:t>
      </w:r>
      <w:r w:rsidR="006872A5" w:rsidRPr="006872A5">
        <w:rPr>
          <w:rFonts w:ascii="TimesNewRoman" w:hAnsi="TimesNewRoman"/>
          <w:bCs/>
        </w:rPr>
        <w:t>“Volcker Rule To Restrict Banks' Proprieta</w:t>
      </w:r>
      <w:r>
        <w:rPr>
          <w:rFonts w:ascii="TimesNewRoman" w:hAnsi="TimesNewRoman"/>
          <w:bCs/>
        </w:rPr>
        <w:t>ry Trading Contains Loopholes</w:t>
      </w:r>
      <w:r w:rsidR="006872A5" w:rsidRPr="006872A5">
        <w:rPr>
          <w:rFonts w:ascii="TimesNewRoman" w:hAnsi="TimesNewRoman"/>
          <w:bCs/>
        </w:rPr>
        <w:t>”</w:t>
      </w:r>
    </w:p>
    <w:p w14:paraId="380DFFCC" w14:textId="77777777" w:rsidR="001D1226" w:rsidRPr="00213F6F" w:rsidRDefault="001D1226" w:rsidP="001D1226">
      <w:pPr>
        <w:autoSpaceDE w:val="0"/>
        <w:autoSpaceDN w:val="0"/>
        <w:adjustRightInd w:val="0"/>
        <w:ind w:left="1440" w:hanging="1439"/>
        <w:rPr>
          <w:rFonts w:ascii="TimesNewRoman" w:hAnsi="TimesNewRoman"/>
        </w:rPr>
      </w:pPr>
    </w:p>
    <w:p w14:paraId="0C1AF6FA" w14:textId="26752387" w:rsidR="001D1226" w:rsidRPr="00446FB8" w:rsidRDefault="00DE6405" w:rsidP="001D1226">
      <w:pPr>
        <w:tabs>
          <w:tab w:val="left" w:pos="900"/>
        </w:tabs>
        <w:autoSpaceDE w:val="0"/>
        <w:autoSpaceDN w:val="0"/>
        <w:adjustRightInd w:val="0"/>
        <w:rPr>
          <w:rFonts w:ascii="TimesNewRoman" w:hAnsi="TimesNewRoman"/>
          <w:b/>
          <w:u w:val="single"/>
        </w:rPr>
      </w:pPr>
      <w:r>
        <w:rPr>
          <w:rFonts w:ascii="TimesNewRoman" w:hAnsi="TimesNewRoman"/>
          <w:b/>
          <w:u w:val="single"/>
        </w:rPr>
        <w:t>Nov 12.</w:t>
      </w:r>
      <w:r w:rsidR="001D1226" w:rsidRPr="00446FB8">
        <w:rPr>
          <w:rFonts w:ascii="TimesNewRoman" w:hAnsi="TimesNewRoman"/>
          <w:b/>
          <w:u w:val="single"/>
        </w:rPr>
        <w:tab/>
      </w:r>
      <w:r w:rsidR="00D51B27" w:rsidRPr="00446FB8">
        <w:rPr>
          <w:rFonts w:ascii="TimesNewRoman,Bold" w:hAnsi="TimesNewRoman,Bold" w:cs="TimesNewRoman,Bold"/>
          <w:b/>
          <w:bCs/>
          <w:u w:val="single"/>
        </w:rPr>
        <w:t>Valuat</w:t>
      </w:r>
      <w:r w:rsidR="001637A7" w:rsidRPr="00446FB8">
        <w:rPr>
          <w:rFonts w:ascii="TimesNewRoman,Bold" w:hAnsi="TimesNewRoman,Bold" w:cs="TimesNewRoman,Bold"/>
          <w:b/>
          <w:bCs/>
          <w:u w:val="single"/>
        </w:rPr>
        <w:t>ion: Discounted Cash Flow Analysis</w:t>
      </w:r>
    </w:p>
    <w:p w14:paraId="422C9941" w14:textId="77777777" w:rsidR="00446FB8" w:rsidRDefault="00446FB8" w:rsidP="00446FB8">
      <w:pPr>
        <w:autoSpaceDE w:val="0"/>
        <w:autoSpaceDN w:val="0"/>
        <w:adjustRightInd w:val="0"/>
        <w:rPr>
          <w:rFonts w:ascii="TimesNewRoman" w:hAnsi="TimesNewRoman"/>
          <w:bCs/>
        </w:rPr>
      </w:pPr>
    </w:p>
    <w:p w14:paraId="32CBC41B" w14:textId="0E09D367" w:rsidR="00D51B27" w:rsidRDefault="001637A7" w:rsidP="00446FB8">
      <w:pPr>
        <w:autoSpaceDE w:val="0"/>
        <w:autoSpaceDN w:val="0"/>
        <w:adjustRightInd w:val="0"/>
        <w:rPr>
          <w:rFonts w:ascii="TimesNewRoman" w:hAnsi="TimesNewRoman"/>
          <w:bCs/>
        </w:rPr>
      </w:pPr>
      <w:r>
        <w:rPr>
          <w:rFonts w:ascii="TimesNewRoman" w:hAnsi="TimesNewRoman"/>
          <w:bCs/>
        </w:rPr>
        <w:t>Rosenbaum &amp; Pearl (2013) [Ch. 3]</w:t>
      </w:r>
    </w:p>
    <w:p w14:paraId="4A800C11" w14:textId="77777777" w:rsidR="00951F75" w:rsidRDefault="00951F75" w:rsidP="00D51B27">
      <w:pPr>
        <w:autoSpaceDE w:val="0"/>
        <w:autoSpaceDN w:val="0"/>
        <w:adjustRightInd w:val="0"/>
        <w:rPr>
          <w:rFonts w:ascii="TimesNewRoman" w:hAnsi="TimesNewRoman"/>
          <w:bCs/>
        </w:rPr>
      </w:pPr>
    </w:p>
    <w:p w14:paraId="07034526" w14:textId="0A1A8F80" w:rsidR="00446FB8" w:rsidRPr="00446FB8" w:rsidRDefault="00446FB8" w:rsidP="00D51B27">
      <w:pPr>
        <w:autoSpaceDE w:val="0"/>
        <w:autoSpaceDN w:val="0"/>
        <w:adjustRightInd w:val="0"/>
        <w:rPr>
          <w:rFonts w:ascii="TimesNewRoman" w:hAnsi="TimesNewRoman"/>
          <w:bCs/>
          <w:u w:val="single"/>
        </w:rPr>
      </w:pPr>
      <w:r w:rsidRPr="00446FB8">
        <w:rPr>
          <w:rFonts w:ascii="TimesNewRoman" w:hAnsi="TimesNewRoman"/>
          <w:bCs/>
          <w:u w:val="single"/>
        </w:rPr>
        <w:t>Valuation models</w:t>
      </w:r>
      <w:r w:rsidR="00DE6405">
        <w:rPr>
          <w:rFonts w:ascii="TimesNewRoman" w:hAnsi="TimesNewRoman"/>
          <w:bCs/>
          <w:u w:val="single"/>
        </w:rPr>
        <w:t xml:space="preserve"> (spreadsheets)</w:t>
      </w:r>
      <w:r w:rsidRPr="00446FB8">
        <w:rPr>
          <w:rFonts w:ascii="TimesNewRoman" w:hAnsi="TimesNewRoman"/>
          <w:bCs/>
          <w:u w:val="single"/>
        </w:rPr>
        <w:t>:</w:t>
      </w:r>
    </w:p>
    <w:p w14:paraId="23808977" w14:textId="77777777" w:rsidR="00446FB8" w:rsidRDefault="00446FB8" w:rsidP="00D51B27">
      <w:pPr>
        <w:autoSpaceDE w:val="0"/>
        <w:autoSpaceDN w:val="0"/>
        <w:adjustRightInd w:val="0"/>
        <w:rPr>
          <w:rFonts w:ascii="TimesNewRoman" w:hAnsi="TimesNewRoman"/>
          <w:bCs/>
        </w:rPr>
      </w:pPr>
    </w:p>
    <w:p w14:paraId="564ECE11" w14:textId="28445199" w:rsidR="008472C9" w:rsidRPr="008472C9" w:rsidRDefault="00446FB8" w:rsidP="008472C9">
      <w:pPr>
        <w:pStyle w:val="ListParagraph"/>
        <w:numPr>
          <w:ilvl w:val="0"/>
          <w:numId w:val="7"/>
        </w:numPr>
        <w:autoSpaceDE w:val="0"/>
        <w:autoSpaceDN w:val="0"/>
        <w:adjustRightInd w:val="0"/>
        <w:rPr>
          <w:rFonts w:ascii="TimesNewRoman" w:hAnsi="TimesNewRoman"/>
          <w:bCs/>
        </w:rPr>
      </w:pPr>
      <w:r w:rsidRPr="008472C9">
        <w:rPr>
          <w:rFonts w:ascii="TimesNewRoman" w:hAnsi="TimesNewRoman"/>
          <w:bCs/>
        </w:rPr>
        <w:t>Dividend Discount – example</w:t>
      </w:r>
    </w:p>
    <w:p w14:paraId="7B267769" w14:textId="25593DB6" w:rsidR="00446FB8" w:rsidRPr="008472C9" w:rsidRDefault="00446FB8" w:rsidP="008472C9">
      <w:pPr>
        <w:pStyle w:val="ListParagraph"/>
        <w:numPr>
          <w:ilvl w:val="0"/>
          <w:numId w:val="7"/>
        </w:numPr>
        <w:autoSpaceDE w:val="0"/>
        <w:autoSpaceDN w:val="0"/>
        <w:adjustRightInd w:val="0"/>
        <w:rPr>
          <w:rFonts w:ascii="TimesNewRoman" w:hAnsi="TimesNewRoman"/>
          <w:bCs/>
        </w:rPr>
      </w:pPr>
      <w:r w:rsidRPr="008472C9">
        <w:rPr>
          <w:rFonts w:ascii="TimesNewRoman" w:hAnsi="TimesNewRoman"/>
          <w:bCs/>
        </w:rPr>
        <w:t>Goldman Sachs Dividend Discount Model</w:t>
      </w:r>
    </w:p>
    <w:p w14:paraId="440018F9" w14:textId="598FB3F3" w:rsidR="00446FB8" w:rsidRPr="008472C9" w:rsidRDefault="00446FB8" w:rsidP="008472C9">
      <w:pPr>
        <w:pStyle w:val="ListParagraph"/>
        <w:numPr>
          <w:ilvl w:val="0"/>
          <w:numId w:val="7"/>
        </w:numPr>
        <w:autoSpaceDE w:val="0"/>
        <w:autoSpaceDN w:val="0"/>
        <w:adjustRightInd w:val="0"/>
        <w:rPr>
          <w:rFonts w:ascii="TimesNewRoman" w:hAnsi="TimesNewRoman"/>
          <w:bCs/>
        </w:rPr>
      </w:pPr>
      <w:r w:rsidRPr="008472C9">
        <w:rPr>
          <w:rFonts w:ascii="TimesNewRoman" w:hAnsi="TimesNewRoman"/>
          <w:bCs/>
        </w:rPr>
        <w:t>Twitter enterprise valuation</w:t>
      </w:r>
    </w:p>
    <w:p w14:paraId="06438415" w14:textId="672ED126" w:rsidR="00DE6405" w:rsidRPr="008472C9" w:rsidRDefault="00DE6405" w:rsidP="008472C9">
      <w:pPr>
        <w:pStyle w:val="ListParagraph"/>
        <w:numPr>
          <w:ilvl w:val="0"/>
          <w:numId w:val="7"/>
        </w:numPr>
        <w:autoSpaceDE w:val="0"/>
        <w:autoSpaceDN w:val="0"/>
        <w:adjustRightInd w:val="0"/>
        <w:rPr>
          <w:rFonts w:ascii="TimesNewRoman" w:hAnsi="TimesNewRoman"/>
          <w:bCs/>
        </w:rPr>
      </w:pPr>
      <w:r w:rsidRPr="008472C9">
        <w:rPr>
          <w:rFonts w:ascii="TimesNewRoman" w:hAnsi="TimesNewRoman"/>
          <w:bCs/>
        </w:rPr>
        <w:t>Cost of capital by sector</w:t>
      </w:r>
    </w:p>
    <w:p w14:paraId="78F74F89" w14:textId="77777777" w:rsidR="00446FB8" w:rsidRDefault="00446FB8" w:rsidP="00D51B27">
      <w:pPr>
        <w:autoSpaceDE w:val="0"/>
        <w:autoSpaceDN w:val="0"/>
        <w:adjustRightInd w:val="0"/>
        <w:rPr>
          <w:rFonts w:ascii="TimesNewRoman" w:hAnsi="TimesNewRoman"/>
          <w:bCs/>
        </w:rPr>
      </w:pPr>
    </w:p>
    <w:p w14:paraId="42B327F1" w14:textId="6E10150D" w:rsidR="00446FB8" w:rsidRDefault="00446FB8" w:rsidP="00D51B27">
      <w:pPr>
        <w:autoSpaceDE w:val="0"/>
        <w:autoSpaceDN w:val="0"/>
        <w:adjustRightInd w:val="0"/>
        <w:rPr>
          <w:rFonts w:ascii="TimesNewRoman" w:hAnsi="TimesNewRoman"/>
          <w:bCs/>
        </w:rPr>
      </w:pPr>
      <w:r>
        <w:rPr>
          <w:rFonts w:ascii="TimesNewRoman" w:hAnsi="TimesNewRoman"/>
          <w:bCs/>
        </w:rPr>
        <w:t>Homework #1</w:t>
      </w:r>
    </w:p>
    <w:p w14:paraId="52CAD170" w14:textId="77777777" w:rsidR="00446FB8" w:rsidRPr="00213F6F" w:rsidRDefault="00446FB8" w:rsidP="00D51B27">
      <w:pPr>
        <w:autoSpaceDE w:val="0"/>
        <w:autoSpaceDN w:val="0"/>
        <w:adjustRightInd w:val="0"/>
        <w:rPr>
          <w:rFonts w:ascii="TimesNewRoman" w:hAnsi="TimesNewRoman"/>
        </w:rPr>
      </w:pPr>
    </w:p>
    <w:p w14:paraId="3C421D78" w14:textId="26512D6D" w:rsidR="001D1226" w:rsidRPr="00DE6405" w:rsidRDefault="00DE6405" w:rsidP="001D1226">
      <w:pPr>
        <w:tabs>
          <w:tab w:val="left" w:pos="900"/>
        </w:tabs>
        <w:autoSpaceDE w:val="0"/>
        <w:autoSpaceDN w:val="0"/>
        <w:adjustRightInd w:val="0"/>
        <w:rPr>
          <w:rFonts w:ascii="TimesNewRoman" w:hAnsi="TimesNewRoman"/>
          <w:b/>
          <w:u w:val="single"/>
        </w:rPr>
      </w:pPr>
      <w:r>
        <w:rPr>
          <w:rFonts w:ascii="TimesNewRoman" w:hAnsi="TimesNewRoman"/>
          <w:b/>
          <w:u w:val="single"/>
        </w:rPr>
        <w:t>Nov 19.</w:t>
      </w:r>
      <w:r w:rsidR="001D1226" w:rsidRPr="00DE6405">
        <w:rPr>
          <w:rFonts w:ascii="TimesNewRoman" w:hAnsi="TimesNewRoman"/>
          <w:b/>
          <w:u w:val="single"/>
        </w:rPr>
        <w:tab/>
      </w:r>
      <w:r w:rsidR="00D51B27" w:rsidRPr="00DE6405">
        <w:rPr>
          <w:rFonts w:ascii="TimesNewRoman,Bold" w:hAnsi="TimesNewRoman,Bold" w:cs="TimesNewRoman,Bold"/>
          <w:b/>
          <w:bCs/>
          <w:u w:val="single"/>
        </w:rPr>
        <w:t>Valuation</w:t>
      </w:r>
      <w:r w:rsidRPr="00DE6405">
        <w:rPr>
          <w:rFonts w:ascii="TimesNewRoman,Bold" w:hAnsi="TimesNewRoman,Bold" w:cs="TimesNewRoman,Bold"/>
          <w:b/>
          <w:bCs/>
          <w:u w:val="single"/>
        </w:rPr>
        <w:t>: Comparable Companies Analysis</w:t>
      </w:r>
    </w:p>
    <w:p w14:paraId="1348734F" w14:textId="77777777" w:rsidR="00DE6405" w:rsidRDefault="00DE6405" w:rsidP="00DE6405">
      <w:pPr>
        <w:autoSpaceDE w:val="0"/>
        <w:autoSpaceDN w:val="0"/>
        <w:adjustRightInd w:val="0"/>
        <w:rPr>
          <w:rFonts w:ascii="TimesNewRoman" w:hAnsi="TimesNewRoman"/>
          <w:bCs/>
        </w:rPr>
      </w:pPr>
    </w:p>
    <w:p w14:paraId="23234912" w14:textId="736F0C9B" w:rsidR="00D51B27" w:rsidRDefault="00D51B27" w:rsidP="00DE6405">
      <w:pPr>
        <w:autoSpaceDE w:val="0"/>
        <w:autoSpaceDN w:val="0"/>
        <w:adjustRightInd w:val="0"/>
        <w:rPr>
          <w:rFonts w:ascii="TimesNewRoman" w:hAnsi="TimesNewRoman"/>
          <w:bCs/>
        </w:rPr>
      </w:pPr>
      <w:r w:rsidRPr="00D51B27">
        <w:rPr>
          <w:rFonts w:ascii="TimesNewRoman" w:hAnsi="TimesNewRoman"/>
          <w:bCs/>
        </w:rPr>
        <w:t xml:space="preserve">Rosenbaum &amp; Pearl </w:t>
      </w:r>
      <w:r w:rsidR="00DE6405">
        <w:rPr>
          <w:rFonts w:ascii="TimesNewRoman" w:hAnsi="TimesNewRoman"/>
          <w:bCs/>
        </w:rPr>
        <w:t>(2013) [</w:t>
      </w:r>
      <w:r w:rsidRPr="00D51B27">
        <w:rPr>
          <w:rFonts w:ascii="TimesNewRoman" w:hAnsi="TimesNewRoman"/>
          <w:bCs/>
        </w:rPr>
        <w:t xml:space="preserve">Ch. </w:t>
      </w:r>
      <w:r w:rsidR="00DE6405">
        <w:rPr>
          <w:rFonts w:ascii="TimesNewRoman" w:hAnsi="TimesNewRoman"/>
          <w:bCs/>
        </w:rPr>
        <w:t>1].</w:t>
      </w:r>
    </w:p>
    <w:p w14:paraId="4146D515" w14:textId="77777777" w:rsidR="00DE6405" w:rsidRDefault="00DE6405" w:rsidP="00DE6405">
      <w:pPr>
        <w:autoSpaceDE w:val="0"/>
        <w:autoSpaceDN w:val="0"/>
        <w:adjustRightInd w:val="0"/>
        <w:rPr>
          <w:rFonts w:ascii="TimesNewRoman" w:hAnsi="TimesNewRoman"/>
          <w:bCs/>
        </w:rPr>
      </w:pPr>
    </w:p>
    <w:p w14:paraId="46956E0B" w14:textId="77777777" w:rsidR="00DE6405" w:rsidRPr="00446FB8" w:rsidRDefault="00DE6405" w:rsidP="00DE6405">
      <w:pPr>
        <w:autoSpaceDE w:val="0"/>
        <w:autoSpaceDN w:val="0"/>
        <w:adjustRightInd w:val="0"/>
        <w:rPr>
          <w:rFonts w:ascii="TimesNewRoman" w:hAnsi="TimesNewRoman"/>
          <w:bCs/>
          <w:u w:val="single"/>
        </w:rPr>
      </w:pPr>
      <w:r w:rsidRPr="00446FB8">
        <w:rPr>
          <w:rFonts w:ascii="TimesNewRoman" w:hAnsi="TimesNewRoman"/>
          <w:bCs/>
          <w:u w:val="single"/>
        </w:rPr>
        <w:t>Valuation models</w:t>
      </w:r>
      <w:r>
        <w:rPr>
          <w:rFonts w:ascii="TimesNewRoman" w:hAnsi="TimesNewRoman"/>
          <w:bCs/>
          <w:u w:val="single"/>
        </w:rPr>
        <w:t xml:space="preserve"> (spreadsheets)</w:t>
      </w:r>
      <w:r w:rsidRPr="00446FB8">
        <w:rPr>
          <w:rFonts w:ascii="TimesNewRoman" w:hAnsi="TimesNewRoman"/>
          <w:bCs/>
          <w:u w:val="single"/>
        </w:rPr>
        <w:t>:</w:t>
      </w:r>
    </w:p>
    <w:p w14:paraId="55696004" w14:textId="77777777" w:rsidR="00DE6405" w:rsidRDefault="00DE6405" w:rsidP="00DE6405">
      <w:pPr>
        <w:autoSpaceDE w:val="0"/>
        <w:autoSpaceDN w:val="0"/>
        <w:adjustRightInd w:val="0"/>
        <w:rPr>
          <w:rFonts w:ascii="TimesNewRoman" w:hAnsi="TimesNewRoman"/>
          <w:bCs/>
        </w:rPr>
      </w:pPr>
    </w:p>
    <w:p w14:paraId="6DAB67BF" w14:textId="6CBB5273" w:rsidR="00DE6405" w:rsidRPr="008472C9" w:rsidRDefault="00DE6405" w:rsidP="008472C9">
      <w:pPr>
        <w:pStyle w:val="ListParagraph"/>
        <w:numPr>
          <w:ilvl w:val="0"/>
          <w:numId w:val="8"/>
        </w:numPr>
        <w:autoSpaceDE w:val="0"/>
        <w:autoSpaceDN w:val="0"/>
        <w:adjustRightInd w:val="0"/>
        <w:rPr>
          <w:rFonts w:ascii="TimesNewRoman" w:hAnsi="TimesNewRoman"/>
          <w:bCs/>
        </w:rPr>
      </w:pPr>
      <w:r w:rsidRPr="008472C9">
        <w:rPr>
          <w:rFonts w:ascii="TimesNewRoman" w:hAnsi="TimesNewRoman"/>
          <w:bCs/>
        </w:rPr>
        <w:t>Goldman Sachs PE</w:t>
      </w:r>
      <w:r w:rsidR="00B33F95" w:rsidRPr="008472C9">
        <w:rPr>
          <w:rFonts w:ascii="TimesNewRoman" w:hAnsi="TimesNewRoman"/>
          <w:bCs/>
        </w:rPr>
        <w:t xml:space="preserve"> valuation</w:t>
      </w:r>
    </w:p>
    <w:p w14:paraId="65E3BC4A" w14:textId="6956F15F" w:rsidR="00B33F95" w:rsidRPr="008472C9" w:rsidRDefault="00B33F95" w:rsidP="008472C9">
      <w:pPr>
        <w:pStyle w:val="ListParagraph"/>
        <w:numPr>
          <w:ilvl w:val="0"/>
          <w:numId w:val="8"/>
        </w:numPr>
        <w:autoSpaceDE w:val="0"/>
        <w:autoSpaceDN w:val="0"/>
        <w:adjustRightInd w:val="0"/>
        <w:rPr>
          <w:rFonts w:ascii="TimesNewRoman" w:hAnsi="TimesNewRoman"/>
          <w:bCs/>
        </w:rPr>
      </w:pPr>
      <w:r w:rsidRPr="008472C9">
        <w:rPr>
          <w:rFonts w:ascii="TimesNewRoman" w:hAnsi="TimesNewRoman"/>
          <w:bCs/>
        </w:rPr>
        <w:t>PE ratios by sector</w:t>
      </w:r>
    </w:p>
    <w:p w14:paraId="52132EBD" w14:textId="77777777" w:rsidR="00951F75" w:rsidRDefault="00951F75" w:rsidP="00951F75">
      <w:pPr>
        <w:autoSpaceDE w:val="0"/>
        <w:autoSpaceDN w:val="0"/>
        <w:adjustRightInd w:val="0"/>
        <w:ind w:left="900"/>
        <w:rPr>
          <w:rFonts w:ascii="TimesNewRoman" w:hAnsi="TimesNewRoman"/>
          <w:bCs/>
        </w:rPr>
      </w:pPr>
    </w:p>
    <w:p w14:paraId="68D5C3D3" w14:textId="37612A95" w:rsidR="00D539B3" w:rsidRDefault="00F4503A" w:rsidP="00D539B3">
      <w:pPr>
        <w:autoSpaceDE w:val="0"/>
        <w:autoSpaceDN w:val="0"/>
        <w:adjustRightInd w:val="0"/>
        <w:rPr>
          <w:rFonts w:ascii="TimesNewRoman" w:hAnsi="TimesNewRoman"/>
          <w:bCs/>
        </w:rPr>
      </w:pPr>
      <w:r>
        <w:rPr>
          <w:rFonts w:ascii="TimesNewRoman" w:hAnsi="TimesNewRoman"/>
          <w:bCs/>
        </w:rPr>
        <w:t>Homework #2</w:t>
      </w:r>
    </w:p>
    <w:p w14:paraId="5C7B2540" w14:textId="77777777" w:rsidR="00D539B3" w:rsidRDefault="00D539B3" w:rsidP="00D539B3">
      <w:pPr>
        <w:autoSpaceDE w:val="0"/>
        <w:autoSpaceDN w:val="0"/>
        <w:adjustRightInd w:val="0"/>
        <w:rPr>
          <w:rFonts w:ascii="TimesNewRoman" w:hAnsi="TimesNewRoman"/>
          <w:bCs/>
        </w:rPr>
      </w:pPr>
    </w:p>
    <w:p w14:paraId="7B50E107" w14:textId="77777777" w:rsidR="00D539B3" w:rsidRDefault="00D539B3" w:rsidP="00951F75">
      <w:pPr>
        <w:autoSpaceDE w:val="0"/>
        <w:autoSpaceDN w:val="0"/>
        <w:adjustRightInd w:val="0"/>
        <w:ind w:left="900"/>
        <w:rPr>
          <w:rFonts w:ascii="TimesNewRoman" w:hAnsi="TimesNewRoman"/>
          <w:bCs/>
        </w:rPr>
      </w:pPr>
    </w:p>
    <w:p w14:paraId="71D92396" w14:textId="708A378D" w:rsidR="008E6D2C" w:rsidRDefault="00571AA4" w:rsidP="008E6D2C">
      <w:pPr>
        <w:tabs>
          <w:tab w:val="left" w:pos="900"/>
        </w:tabs>
        <w:autoSpaceDE w:val="0"/>
        <w:autoSpaceDN w:val="0"/>
        <w:adjustRightInd w:val="0"/>
        <w:rPr>
          <w:rFonts w:ascii="TimesNewRoman,Bold" w:hAnsi="TimesNewRoman,Bold" w:cs="TimesNewRoman,Bold"/>
          <w:b/>
          <w:bCs/>
          <w:u w:val="single"/>
        </w:rPr>
      </w:pPr>
      <w:r w:rsidRPr="00571AA4">
        <w:rPr>
          <w:rFonts w:ascii="TimesNewRoman" w:hAnsi="TimesNewRoman"/>
          <w:b/>
          <w:u w:val="single"/>
        </w:rPr>
        <w:t>Nov 2</w:t>
      </w:r>
      <w:r w:rsidR="00465B8D">
        <w:rPr>
          <w:rFonts w:ascii="TimesNewRoman" w:hAnsi="TimesNewRoman"/>
          <w:b/>
          <w:u w:val="single"/>
        </w:rPr>
        <w:t>6</w:t>
      </w:r>
      <w:r w:rsidRPr="00571AA4">
        <w:rPr>
          <w:rFonts w:ascii="TimesNewRoman" w:hAnsi="TimesNewRoman"/>
          <w:b/>
          <w:u w:val="single"/>
        </w:rPr>
        <w:t xml:space="preserve">. </w:t>
      </w:r>
      <w:r w:rsidR="008E6D2C" w:rsidRPr="00571AA4">
        <w:rPr>
          <w:rFonts w:ascii="TimesNewRoman,Bold" w:hAnsi="TimesNewRoman,Bold" w:cs="TimesNewRoman,Bold"/>
          <w:b/>
          <w:bCs/>
          <w:u w:val="single"/>
        </w:rPr>
        <w:t>M&amp;A transactions and Leveraged Buy-Outs</w:t>
      </w:r>
    </w:p>
    <w:p w14:paraId="5DB2ACB6" w14:textId="77777777" w:rsidR="00571AA4" w:rsidRDefault="00571AA4" w:rsidP="008E6D2C">
      <w:pPr>
        <w:tabs>
          <w:tab w:val="left" w:pos="900"/>
        </w:tabs>
        <w:autoSpaceDE w:val="0"/>
        <w:autoSpaceDN w:val="0"/>
        <w:adjustRightInd w:val="0"/>
        <w:rPr>
          <w:rFonts w:ascii="TimesNewRoman" w:hAnsi="TimesNewRoman"/>
          <w:b/>
          <w:u w:val="single"/>
        </w:rPr>
      </w:pPr>
    </w:p>
    <w:p w14:paraId="71AE0652" w14:textId="7D5BBC17" w:rsidR="00571AA4" w:rsidRDefault="00571AA4" w:rsidP="00571AA4">
      <w:pPr>
        <w:autoSpaceDE w:val="0"/>
        <w:autoSpaceDN w:val="0"/>
        <w:adjustRightInd w:val="0"/>
        <w:rPr>
          <w:rFonts w:ascii="TimesNewRoman" w:hAnsi="TimesNewRoman"/>
          <w:bCs/>
        </w:rPr>
      </w:pPr>
      <w:r>
        <w:rPr>
          <w:rFonts w:ascii="TimesNewRoman" w:hAnsi="TimesNewRoman"/>
          <w:bCs/>
        </w:rPr>
        <w:t>Rosenbaum &amp; Pearl (2013) [</w:t>
      </w:r>
      <w:r>
        <w:rPr>
          <w:rFonts w:ascii="TimesNewRoman" w:hAnsi="TimesNewRoman"/>
          <w:bCs/>
        </w:rPr>
        <w:t xml:space="preserve">Ch. </w:t>
      </w:r>
      <w:r w:rsidR="00AB6E46">
        <w:rPr>
          <w:rFonts w:ascii="TimesNewRoman" w:hAnsi="TimesNewRoman"/>
          <w:bCs/>
        </w:rPr>
        <w:t>4</w:t>
      </w:r>
      <w:r>
        <w:rPr>
          <w:rFonts w:ascii="TimesNewRoman" w:hAnsi="TimesNewRoman"/>
          <w:bCs/>
        </w:rPr>
        <w:t>-6</w:t>
      </w:r>
      <w:r>
        <w:rPr>
          <w:rFonts w:ascii="TimesNewRoman" w:hAnsi="TimesNewRoman"/>
          <w:bCs/>
        </w:rPr>
        <w:t>]</w:t>
      </w:r>
    </w:p>
    <w:p w14:paraId="2AF28E87" w14:textId="77777777" w:rsidR="009C6B17" w:rsidRDefault="009C6B17" w:rsidP="00A9740E">
      <w:pPr>
        <w:autoSpaceDE w:val="0"/>
        <w:autoSpaceDN w:val="0"/>
        <w:adjustRightInd w:val="0"/>
        <w:rPr>
          <w:rFonts w:ascii="TimesNewRoman" w:hAnsi="TimesNewRoman"/>
          <w:bCs/>
        </w:rPr>
      </w:pPr>
    </w:p>
    <w:p w14:paraId="0EB2EF83" w14:textId="1E1EA5C4" w:rsidR="00A9740E" w:rsidRDefault="00A9740E" w:rsidP="00A9740E">
      <w:pPr>
        <w:autoSpaceDE w:val="0"/>
        <w:autoSpaceDN w:val="0"/>
        <w:adjustRightInd w:val="0"/>
        <w:rPr>
          <w:rFonts w:ascii="TimesNewRoman" w:hAnsi="TimesNewRoman"/>
          <w:bCs/>
        </w:rPr>
      </w:pPr>
      <w:r>
        <w:rPr>
          <w:rFonts w:ascii="TimesNewRoman" w:hAnsi="TimesNewRoman"/>
          <w:bCs/>
        </w:rPr>
        <w:t>Stowell (2010). [</w:t>
      </w:r>
      <w:r>
        <w:rPr>
          <w:rFonts w:ascii="TimesNewRoman" w:hAnsi="TimesNewRoman"/>
          <w:bCs/>
        </w:rPr>
        <w:t>Ch. 4</w:t>
      </w:r>
      <w:r w:rsidR="001D7675">
        <w:rPr>
          <w:rFonts w:ascii="TimesNewRoman" w:hAnsi="TimesNewRoman"/>
          <w:bCs/>
        </w:rPr>
        <w:t>, Ch. 16-20</w:t>
      </w:r>
      <w:r>
        <w:rPr>
          <w:rFonts w:ascii="TimesNewRoman" w:hAnsi="TimesNewRoman"/>
          <w:bCs/>
        </w:rPr>
        <w:t>]</w:t>
      </w:r>
    </w:p>
    <w:p w14:paraId="1E78787C" w14:textId="77777777" w:rsidR="00A9740E" w:rsidRPr="00571AA4" w:rsidRDefault="00A9740E" w:rsidP="008E6D2C">
      <w:pPr>
        <w:tabs>
          <w:tab w:val="left" w:pos="900"/>
        </w:tabs>
        <w:autoSpaceDE w:val="0"/>
        <w:autoSpaceDN w:val="0"/>
        <w:adjustRightInd w:val="0"/>
        <w:rPr>
          <w:rFonts w:ascii="TimesNewRoman" w:hAnsi="TimesNewRoman"/>
          <w:b/>
          <w:u w:val="single"/>
        </w:rPr>
      </w:pPr>
    </w:p>
    <w:p w14:paraId="7D1B7E09" w14:textId="77777777" w:rsidR="008E6D2C" w:rsidRPr="008E6D2C" w:rsidRDefault="008E6D2C" w:rsidP="008E6D2C">
      <w:pPr>
        <w:tabs>
          <w:tab w:val="left" w:pos="900"/>
        </w:tabs>
        <w:autoSpaceDE w:val="0"/>
        <w:autoSpaceDN w:val="0"/>
        <w:adjustRightInd w:val="0"/>
        <w:rPr>
          <w:rFonts w:ascii="TimesNewRoman" w:hAnsi="TimesNewRoman"/>
          <w:b/>
        </w:rPr>
      </w:pPr>
    </w:p>
    <w:p w14:paraId="68BC47C5" w14:textId="2FA33C09" w:rsidR="008E6D2C" w:rsidRPr="00CF2AE3" w:rsidRDefault="00301828" w:rsidP="008E6D2C">
      <w:pPr>
        <w:tabs>
          <w:tab w:val="left" w:pos="900"/>
        </w:tabs>
        <w:autoSpaceDE w:val="0"/>
        <w:autoSpaceDN w:val="0"/>
        <w:adjustRightInd w:val="0"/>
        <w:rPr>
          <w:rFonts w:ascii="TimesNewRoman" w:hAnsi="TimesNewRoman"/>
          <w:b/>
          <w:u w:val="single"/>
        </w:rPr>
      </w:pPr>
      <w:r w:rsidRPr="00CF2AE3">
        <w:rPr>
          <w:rFonts w:ascii="TimesNewRoman" w:hAnsi="TimesNewRoman"/>
          <w:b/>
          <w:u w:val="single"/>
        </w:rPr>
        <w:t xml:space="preserve">Dec 3. </w:t>
      </w:r>
      <w:r w:rsidR="008E6D2C" w:rsidRPr="00CF2AE3">
        <w:rPr>
          <w:rFonts w:ascii="TimesNewRoman,Bold" w:hAnsi="TimesNewRoman,Bold" w:cs="TimesNewRoman,Bold"/>
          <w:b/>
          <w:bCs/>
          <w:u w:val="single"/>
        </w:rPr>
        <w:t xml:space="preserve">Hedge Fund &amp; Proprietary Trading  </w:t>
      </w:r>
    </w:p>
    <w:p w14:paraId="263426E8" w14:textId="77777777" w:rsidR="00CF2AE3" w:rsidRDefault="00CF2AE3" w:rsidP="008D0D7C">
      <w:pPr>
        <w:autoSpaceDE w:val="0"/>
        <w:autoSpaceDN w:val="0"/>
        <w:adjustRightInd w:val="0"/>
        <w:ind w:left="1440"/>
        <w:rPr>
          <w:rFonts w:ascii="TimesNewRoman" w:hAnsi="TimesNewRoman"/>
          <w:bCs/>
        </w:rPr>
      </w:pPr>
    </w:p>
    <w:p w14:paraId="1770BED2" w14:textId="4B70C664" w:rsidR="002072C4" w:rsidRDefault="002072C4" w:rsidP="002072C4">
      <w:pPr>
        <w:autoSpaceDE w:val="0"/>
        <w:autoSpaceDN w:val="0"/>
        <w:adjustRightInd w:val="0"/>
        <w:rPr>
          <w:rFonts w:ascii="TimesNewRoman" w:hAnsi="TimesNewRoman"/>
          <w:bCs/>
        </w:rPr>
      </w:pPr>
      <w:r>
        <w:rPr>
          <w:rFonts w:ascii="TimesNewRoman" w:hAnsi="TimesNewRoman"/>
          <w:bCs/>
        </w:rPr>
        <w:t>Stowell (2010). [</w:t>
      </w:r>
      <w:r w:rsidR="00B42AA6">
        <w:rPr>
          <w:rFonts w:ascii="TimesNewRoman" w:hAnsi="TimesNewRoman"/>
          <w:bCs/>
        </w:rPr>
        <w:t>Ch. 11-15</w:t>
      </w:r>
      <w:r>
        <w:rPr>
          <w:rFonts w:ascii="TimesNewRoman" w:hAnsi="TimesNewRoman"/>
          <w:bCs/>
        </w:rPr>
        <w:t>]</w:t>
      </w:r>
    </w:p>
    <w:p w14:paraId="0811E982" w14:textId="77777777" w:rsidR="000204CA" w:rsidRDefault="000204CA" w:rsidP="002072C4">
      <w:pPr>
        <w:autoSpaceDE w:val="0"/>
        <w:autoSpaceDN w:val="0"/>
        <w:adjustRightInd w:val="0"/>
        <w:rPr>
          <w:rFonts w:ascii="TimesNewRoman" w:hAnsi="TimesNewRoman"/>
          <w:bCs/>
        </w:rPr>
      </w:pPr>
    </w:p>
    <w:p w14:paraId="3237C252" w14:textId="0271B292" w:rsidR="000204CA" w:rsidRPr="000204CA" w:rsidRDefault="000204CA" w:rsidP="002072C4">
      <w:pPr>
        <w:autoSpaceDE w:val="0"/>
        <w:autoSpaceDN w:val="0"/>
        <w:adjustRightInd w:val="0"/>
        <w:rPr>
          <w:rFonts w:ascii="TimesNewRoman" w:hAnsi="TimesNewRoman"/>
          <w:bCs/>
          <w:u w:val="single"/>
        </w:rPr>
      </w:pPr>
      <w:r w:rsidRPr="00EE6A16">
        <w:rPr>
          <w:rFonts w:ascii="TimesNewRoman" w:hAnsi="TimesNewRoman"/>
          <w:bCs/>
          <w:u w:val="single"/>
        </w:rPr>
        <w:lastRenderedPageBreak/>
        <w:t>Additional readings:</w:t>
      </w:r>
    </w:p>
    <w:p w14:paraId="39C55498" w14:textId="77777777" w:rsidR="00CF2AE3" w:rsidRDefault="00CF2AE3" w:rsidP="00CF2AE3">
      <w:pPr>
        <w:autoSpaceDE w:val="0"/>
        <w:autoSpaceDN w:val="0"/>
        <w:adjustRightInd w:val="0"/>
        <w:rPr>
          <w:rFonts w:ascii="TimesNewRoman" w:hAnsi="TimesNewRoman"/>
          <w:bCs/>
        </w:rPr>
      </w:pPr>
    </w:p>
    <w:p w14:paraId="1B9D69C7" w14:textId="682C174B" w:rsidR="008E6D2C" w:rsidRDefault="000204CA" w:rsidP="00117994">
      <w:pPr>
        <w:autoSpaceDE w:val="0"/>
        <w:autoSpaceDN w:val="0"/>
        <w:adjustRightInd w:val="0"/>
        <w:rPr>
          <w:rFonts w:ascii="TimesNewRoman" w:hAnsi="TimesNewRoman"/>
          <w:bCs/>
        </w:rPr>
      </w:pPr>
      <w:r>
        <w:rPr>
          <w:rFonts w:ascii="TimesNewRoman" w:hAnsi="TimesNewRoman"/>
          <w:bCs/>
        </w:rPr>
        <w:t xml:space="preserve">Semmler &amp; Chappe (2013). </w:t>
      </w:r>
      <w:r w:rsidR="008E6D2C" w:rsidRPr="009556CF">
        <w:rPr>
          <w:rFonts w:ascii="TimesNewRoman" w:hAnsi="TimesNewRoman"/>
          <w:bCs/>
        </w:rPr>
        <w:t>“Seeking Alpha”: The Performance of Funds of Hedge Funds”</w:t>
      </w:r>
    </w:p>
    <w:p w14:paraId="2310BF43" w14:textId="77777777" w:rsidR="0075464D" w:rsidRPr="009556CF" w:rsidRDefault="0075464D" w:rsidP="0075464D">
      <w:pPr>
        <w:autoSpaceDE w:val="0"/>
        <w:autoSpaceDN w:val="0"/>
        <w:adjustRightInd w:val="0"/>
        <w:rPr>
          <w:rFonts w:ascii="TimesNewRoman" w:hAnsi="TimesNewRoman"/>
          <w:bCs/>
        </w:rPr>
      </w:pPr>
    </w:p>
    <w:p w14:paraId="06FE07A7" w14:textId="09CDA78A" w:rsidR="008E6D2C" w:rsidRDefault="0075464D" w:rsidP="000204CA">
      <w:pPr>
        <w:autoSpaceDE w:val="0"/>
        <w:autoSpaceDN w:val="0"/>
        <w:adjustRightInd w:val="0"/>
        <w:rPr>
          <w:rFonts w:ascii="TimesNewRoman" w:hAnsi="TimesNewRoman"/>
          <w:bCs/>
        </w:rPr>
      </w:pPr>
      <w:r>
        <w:rPr>
          <w:rFonts w:ascii="TimesNewRoman" w:hAnsi="TimesNewRoman"/>
          <w:bCs/>
        </w:rPr>
        <w:t xml:space="preserve">Freed (2015). </w:t>
      </w:r>
      <w:r w:rsidR="008E6D2C">
        <w:rPr>
          <w:rFonts w:ascii="TimesNewRoman" w:hAnsi="TimesNewRoman"/>
          <w:bCs/>
        </w:rPr>
        <w:t xml:space="preserve">“The Dubious History of Hedge Fund Performance 1998 – 2014” </w:t>
      </w:r>
    </w:p>
    <w:p w14:paraId="6C8CF2E9" w14:textId="77777777" w:rsidR="003844F0" w:rsidRDefault="003844F0" w:rsidP="003844F0">
      <w:pPr>
        <w:autoSpaceDE w:val="0"/>
        <w:autoSpaceDN w:val="0"/>
        <w:adjustRightInd w:val="0"/>
        <w:rPr>
          <w:rFonts w:ascii="TimesNewRoman" w:hAnsi="TimesNewRoman"/>
          <w:bCs/>
        </w:rPr>
      </w:pPr>
    </w:p>
    <w:p w14:paraId="5A7853AE" w14:textId="653C9C56" w:rsidR="008E6D2C" w:rsidRDefault="003844F0" w:rsidP="003844F0">
      <w:pPr>
        <w:autoSpaceDE w:val="0"/>
        <w:autoSpaceDN w:val="0"/>
        <w:adjustRightInd w:val="0"/>
        <w:rPr>
          <w:rFonts w:ascii="TimesNewRoman" w:hAnsi="TimesNewRoman"/>
          <w:bCs/>
        </w:rPr>
      </w:pPr>
      <w:r>
        <w:rPr>
          <w:rFonts w:ascii="TimesNewRoman" w:hAnsi="TimesNewRoman"/>
          <w:bCs/>
        </w:rPr>
        <w:t xml:space="preserve">Jackson &amp; Mitts (2014). </w:t>
      </w:r>
      <w:r w:rsidR="008E6D2C">
        <w:rPr>
          <w:rFonts w:ascii="TimesNewRoman" w:hAnsi="TimesNewRoman"/>
          <w:bCs/>
        </w:rPr>
        <w:t>“</w:t>
      </w:r>
      <w:r w:rsidR="008E6D2C" w:rsidRPr="009565F8">
        <w:rPr>
          <w:rFonts w:ascii="TimesNewRoman" w:hAnsi="TimesNewRoman"/>
          <w:bCs/>
        </w:rPr>
        <w:t>How the SEC Helps Speedy Traders</w:t>
      </w:r>
      <w:r w:rsidR="008E6D2C">
        <w:rPr>
          <w:rFonts w:ascii="TimesNewRoman" w:hAnsi="TimesNewRoman"/>
          <w:bCs/>
        </w:rPr>
        <w:t>”</w:t>
      </w:r>
      <w:r>
        <w:rPr>
          <w:rFonts w:ascii="TimesNewRoman" w:hAnsi="TimesNewRoman"/>
          <w:bCs/>
        </w:rPr>
        <w:t xml:space="preserve"> Columbia Law School</w:t>
      </w:r>
    </w:p>
    <w:p w14:paraId="406539DB" w14:textId="77777777" w:rsidR="00117994" w:rsidRDefault="00117994" w:rsidP="00117994">
      <w:pPr>
        <w:autoSpaceDE w:val="0"/>
        <w:autoSpaceDN w:val="0"/>
        <w:adjustRightInd w:val="0"/>
        <w:rPr>
          <w:rFonts w:ascii="TimesNewRoman" w:hAnsi="TimesNewRoman"/>
          <w:bCs/>
        </w:rPr>
      </w:pPr>
    </w:p>
    <w:p w14:paraId="552F2086" w14:textId="5D4B0D7F" w:rsidR="008E6D2C" w:rsidRDefault="006773CF" w:rsidP="006773CF">
      <w:pPr>
        <w:autoSpaceDE w:val="0"/>
        <w:autoSpaceDN w:val="0"/>
        <w:adjustRightInd w:val="0"/>
        <w:rPr>
          <w:rFonts w:ascii="TimesNewRoman" w:hAnsi="TimesNewRoman"/>
          <w:bCs/>
        </w:rPr>
      </w:pPr>
      <w:r>
        <w:rPr>
          <w:rFonts w:ascii="TimesNewRoman" w:hAnsi="TimesNewRoman"/>
          <w:bCs/>
        </w:rPr>
        <w:t xml:space="preserve">Kaal (2013). </w:t>
      </w:r>
      <w:r w:rsidR="008E6D2C">
        <w:rPr>
          <w:rFonts w:ascii="TimesNewRoman" w:hAnsi="TimesNewRoman"/>
          <w:bCs/>
        </w:rPr>
        <w:t>“</w:t>
      </w:r>
      <w:r w:rsidR="008E6D2C" w:rsidRPr="009556CF">
        <w:rPr>
          <w:rFonts w:ascii="TimesNewRoman" w:hAnsi="TimesNewRoman"/>
          <w:bCs/>
        </w:rPr>
        <w:t>The Impact of Dodd-Frank Act Compliance Cost on the Hedge Fund Industry</w:t>
      </w:r>
      <w:r w:rsidR="008E6D2C">
        <w:rPr>
          <w:rFonts w:ascii="TimesNewRoman" w:hAnsi="TimesNewRoman"/>
          <w:bCs/>
        </w:rPr>
        <w:t>”</w:t>
      </w:r>
    </w:p>
    <w:p w14:paraId="7E867C46" w14:textId="77777777" w:rsidR="000204CA" w:rsidRPr="009556CF" w:rsidRDefault="000204CA" w:rsidP="006773CF">
      <w:pPr>
        <w:autoSpaceDE w:val="0"/>
        <w:autoSpaceDN w:val="0"/>
        <w:adjustRightInd w:val="0"/>
        <w:rPr>
          <w:rFonts w:ascii="TimesNewRoman" w:hAnsi="TimesNewRoman"/>
          <w:bCs/>
        </w:rPr>
      </w:pPr>
    </w:p>
    <w:p w14:paraId="0BDE2119" w14:textId="235196EF" w:rsidR="009565F8" w:rsidRPr="009565F8" w:rsidRDefault="003844F0" w:rsidP="003844F0">
      <w:pPr>
        <w:autoSpaceDE w:val="0"/>
        <w:autoSpaceDN w:val="0"/>
        <w:adjustRightInd w:val="0"/>
        <w:rPr>
          <w:rFonts w:ascii="TimesNewRoman" w:hAnsi="TimesNewRoman"/>
          <w:bCs/>
        </w:rPr>
      </w:pPr>
      <w:r>
        <w:rPr>
          <w:rFonts w:ascii="TimesNewRoman" w:hAnsi="TimesNewRoman"/>
          <w:bCs/>
        </w:rPr>
        <w:t xml:space="preserve">Officer (2009). </w:t>
      </w:r>
      <w:r w:rsidR="008E6D2C" w:rsidRPr="009565F8">
        <w:rPr>
          <w:rFonts w:ascii="TimesNewRoman" w:hAnsi="TimesNewRoman"/>
          <w:bCs/>
        </w:rPr>
        <w:t>“The Ponzi Scheme in Every Hedge Fund</w:t>
      </w:r>
      <w:r w:rsidR="008E6D2C">
        <w:rPr>
          <w:rFonts w:ascii="TimesNewRoman" w:hAnsi="TimesNewRoman"/>
          <w:bCs/>
        </w:rPr>
        <w:t>”</w:t>
      </w:r>
      <w:r>
        <w:rPr>
          <w:rFonts w:ascii="TimesNewRoman" w:hAnsi="TimesNewRoman"/>
          <w:bCs/>
        </w:rPr>
        <w:t xml:space="preserve"> Time Magazine.</w:t>
      </w:r>
    </w:p>
    <w:p w14:paraId="75C30A29" w14:textId="158273E5" w:rsidR="001D1226" w:rsidRDefault="001D1226" w:rsidP="00D51B27">
      <w:pPr>
        <w:autoSpaceDE w:val="0"/>
        <w:autoSpaceDN w:val="0"/>
        <w:adjustRightInd w:val="0"/>
        <w:rPr>
          <w:rFonts w:ascii="TimesNewRoman" w:hAnsi="TimesNewRoman"/>
        </w:rPr>
      </w:pPr>
    </w:p>
    <w:p w14:paraId="3B6A4D15" w14:textId="085A7614" w:rsidR="009565F8" w:rsidRDefault="00301828" w:rsidP="008E6D2C">
      <w:pPr>
        <w:tabs>
          <w:tab w:val="left" w:pos="900"/>
        </w:tabs>
        <w:autoSpaceDE w:val="0"/>
        <w:autoSpaceDN w:val="0"/>
        <w:adjustRightInd w:val="0"/>
        <w:rPr>
          <w:rFonts w:ascii="TimesNewRoman" w:hAnsi="TimesNewRoman"/>
          <w:b/>
        </w:rPr>
      </w:pPr>
      <w:r>
        <w:rPr>
          <w:rFonts w:ascii="TimesNewRoman" w:hAnsi="TimesNewRoman"/>
          <w:b/>
        </w:rPr>
        <w:t>Dec 10</w:t>
      </w:r>
      <w:r w:rsidR="00CF2AE3">
        <w:rPr>
          <w:rFonts w:ascii="TimesNewRoman" w:hAnsi="TimesNewRoman"/>
          <w:b/>
        </w:rPr>
        <w:t xml:space="preserve">. </w:t>
      </w:r>
      <w:r w:rsidR="008E6D2C" w:rsidRPr="002856AD">
        <w:rPr>
          <w:rFonts w:ascii="TimesNewRoman,Bold" w:hAnsi="TimesNewRoman,Bold" w:cs="TimesNewRoman,Bold"/>
          <w:b/>
          <w:bCs/>
        </w:rPr>
        <w:t>Underwriting Business (Equity &amp; Fixed Income)</w:t>
      </w:r>
    </w:p>
    <w:p w14:paraId="28A10159" w14:textId="77777777" w:rsidR="000204CA" w:rsidRDefault="000204CA" w:rsidP="008E6D2C">
      <w:pPr>
        <w:tabs>
          <w:tab w:val="left" w:pos="900"/>
        </w:tabs>
        <w:autoSpaceDE w:val="0"/>
        <w:autoSpaceDN w:val="0"/>
        <w:adjustRightInd w:val="0"/>
        <w:rPr>
          <w:rFonts w:ascii="TimesNewRoman" w:hAnsi="TimesNewRoman"/>
          <w:b/>
        </w:rPr>
      </w:pPr>
    </w:p>
    <w:p w14:paraId="6AF511B4" w14:textId="7983216B" w:rsidR="00C8236D" w:rsidRDefault="00C8236D" w:rsidP="00C8236D">
      <w:pPr>
        <w:autoSpaceDE w:val="0"/>
        <w:autoSpaceDN w:val="0"/>
        <w:adjustRightInd w:val="0"/>
        <w:rPr>
          <w:rFonts w:ascii="TimesNewRoman" w:hAnsi="TimesNewRoman"/>
          <w:bCs/>
        </w:rPr>
      </w:pPr>
      <w:r>
        <w:rPr>
          <w:rFonts w:ascii="TimesNewRoman" w:hAnsi="TimesNewRoman"/>
          <w:bCs/>
        </w:rPr>
        <w:t xml:space="preserve">Stowell (2010). [Ch. </w:t>
      </w:r>
      <w:r>
        <w:rPr>
          <w:rFonts w:ascii="TimesNewRoman" w:hAnsi="TimesNewRoman"/>
          <w:bCs/>
        </w:rPr>
        <w:t>7-10</w:t>
      </w:r>
      <w:bookmarkStart w:id="0" w:name="_GoBack"/>
      <w:bookmarkEnd w:id="0"/>
      <w:r>
        <w:rPr>
          <w:rFonts w:ascii="TimesNewRoman" w:hAnsi="TimesNewRoman"/>
          <w:bCs/>
        </w:rPr>
        <w:t>]</w:t>
      </w:r>
    </w:p>
    <w:p w14:paraId="68644D44" w14:textId="77777777" w:rsidR="00C8236D" w:rsidRPr="000204CA" w:rsidRDefault="00C8236D" w:rsidP="008E6D2C">
      <w:pPr>
        <w:tabs>
          <w:tab w:val="left" w:pos="900"/>
        </w:tabs>
        <w:autoSpaceDE w:val="0"/>
        <w:autoSpaceDN w:val="0"/>
        <w:adjustRightInd w:val="0"/>
        <w:rPr>
          <w:rFonts w:ascii="TimesNewRoman" w:hAnsi="TimesNewRoman"/>
          <w:b/>
        </w:rPr>
      </w:pPr>
    </w:p>
    <w:p w14:paraId="7378EC0D" w14:textId="40602849" w:rsidR="001D1226" w:rsidRPr="00213F6F" w:rsidRDefault="001D1226" w:rsidP="007672C0">
      <w:pPr>
        <w:autoSpaceDE w:val="0"/>
        <w:autoSpaceDN w:val="0"/>
        <w:adjustRightInd w:val="0"/>
        <w:rPr>
          <w:rFonts w:ascii="TimesNewRoman" w:hAnsi="TimesNewRoman"/>
        </w:rPr>
      </w:pPr>
    </w:p>
    <w:p w14:paraId="4EF1CC92" w14:textId="041ED131" w:rsidR="0044252C" w:rsidRPr="00D12F2D" w:rsidRDefault="00CF2AE3" w:rsidP="0044252C">
      <w:pPr>
        <w:tabs>
          <w:tab w:val="left" w:pos="900"/>
        </w:tabs>
        <w:autoSpaceDE w:val="0"/>
        <w:autoSpaceDN w:val="0"/>
        <w:adjustRightInd w:val="0"/>
        <w:rPr>
          <w:rFonts w:ascii="TimesNewRoman" w:hAnsi="TimesNewRoman"/>
          <w:bCs/>
        </w:rPr>
      </w:pPr>
      <w:r>
        <w:rPr>
          <w:rFonts w:ascii="TimesNewRoman,Bold" w:hAnsi="TimesNewRoman,Bold" w:cs="TimesNewRoman,Bold"/>
          <w:b/>
          <w:bCs/>
        </w:rPr>
        <w:t xml:space="preserve">Dec 17. </w:t>
      </w:r>
      <w:r w:rsidR="0044252C">
        <w:rPr>
          <w:rFonts w:ascii="TimesNewRoman,Bold" w:hAnsi="TimesNewRoman,Bold" w:cs="TimesNewRoman,Bold"/>
          <w:b/>
          <w:bCs/>
        </w:rPr>
        <w:t xml:space="preserve">Final </w:t>
      </w:r>
      <w:r w:rsidR="0044252C" w:rsidRPr="00213F6F">
        <w:rPr>
          <w:rFonts w:ascii="TimesNewRoman,Bold" w:hAnsi="TimesNewRoman,Bold" w:cs="TimesNewRoman,Bold"/>
          <w:b/>
          <w:bCs/>
        </w:rPr>
        <w:t>Exam</w:t>
      </w:r>
    </w:p>
    <w:p w14:paraId="426551BA" w14:textId="77777777" w:rsidR="00951F75" w:rsidRPr="00213F6F" w:rsidRDefault="00951F75" w:rsidP="001D1226">
      <w:pPr>
        <w:tabs>
          <w:tab w:val="left" w:pos="900"/>
        </w:tabs>
        <w:autoSpaceDE w:val="0"/>
        <w:autoSpaceDN w:val="0"/>
        <w:adjustRightInd w:val="0"/>
        <w:rPr>
          <w:rFonts w:ascii="TimesNewRoman" w:hAnsi="TimesNewRoman"/>
          <w:b/>
        </w:rPr>
      </w:pPr>
    </w:p>
    <w:p w14:paraId="2F33CE17" w14:textId="77777777" w:rsidR="00867D11" w:rsidRDefault="00867D11"/>
    <w:p w14:paraId="5B0E4349" w14:textId="77777777" w:rsidR="0087678F" w:rsidRPr="00213F6F" w:rsidRDefault="0087678F"/>
    <w:p w14:paraId="71761AD9" w14:textId="77777777" w:rsidR="00F251EF" w:rsidRPr="00213F6F" w:rsidRDefault="00F251EF">
      <w:pPr>
        <w:rPr>
          <w:b/>
        </w:rPr>
      </w:pPr>
      <w:r w:rsidRPr="00213F6F">
        <w:rPr>
          <w:b/>
        </w:rPr>
        <w:t xml:space="preserve">Moses </w:t>
      </w:r>
      <w:r w:rsidR="00213F6F">
        <w:rPr>
          <w:b/>
        </w:rPr>
        <w:t xml:space="preserve">Center </w:t>
      </w:r>
      <w:r w:rsidRPr="00213F6F">
        <w:rPr>
          <w:b/>
        </w:rPr>
        <w:t>Statement of Disability</w:t>
      </w:r>
    </w:p>
    <w:p w14:paraId="30A7AA93" w14:textId="115DEB08" w:rsidR="0087678F" w:rsidRDefault="00F251EF">
      <w:pPr>
        <w:rPr>
          <w:rFonts w:eastAsia="Times New Roman"/>
        </w:rPr>
      </w:pPr>
      <w:r w:rsidRPr="00213F6F">
        <w:rPr>
          <w:rFonts w:eastAsia="Times New Roman"/>
        </w:rPr>
        <w:t xml:space="preserve">If you are student with a disability who is requesting accommodations, please contact New York University’s </w:t>
      </w:r>
      <w:r w:rsidRPr="00213F6F">
        <w:rPr>
          <w:rStyle w:val="il"/>
          <w:rFonts w:eastAsia="Times New Roman"/>
        </w:rPr>
        <w:t>Moses</w:t>
      </w:r>
      <w:r w:rsidRPr="00213F6F">
        <w:rPr>
          <w:rFonts w:eastAsia="Times New Roman"/>
        </w:rPr>
        <w:t xml:space="preserve"> Center for Students with Disabilities at </w:t>
      </w:r>
      <w:hyperlink r:id="rId7" w:tgtFrame="_blank" w:history="1">
        <w:r w:rsidRPr="00213F6F">
          <w:rPr>
            <w:rStyle w:val="Hyperlink"/>
            <w:rFonts w:eastAsia="Times New Roman"/>
            <w:color w:val="auto"/>
          </w:rPr>
          <w:t>212-998-4980</w:t>
        </w:r>
      </w:hyperlink>
      <w:r w:rsidRPr="00213F6F">
        <w:rPr>
          <w:rFonts w:eastAsia="Times New Roman"/>
        </w:rPr>
        <w:t xml:space="preserve"> or </w:t>
      </w:r>
      <w:hyperlink r:id="rId8" w:tgtFrame="_blank" w:history="1">
        <w:r w:rsidRPr="00213F6F">
          <w:rPr>
            <w:rStyle w:val="Hyperlink"/>
            <w:rFonts w:eastAsia="Times New Roman"/>
            <w:color w:val="auto"/>
          </w:rPr>
          <w:t>mosescsd@nyu.edu</w:t>
        </w:r>
      </w:hyperlink>
      <w:r w:rsidRPr="00213F6F">
        <w:rPr>
          <w:rFonts w:eastAsia="Times New Roman"/>
        </w:rPr>
        <w:t xml:space="preserve">.  You must be registered with CSD to receive accommodations.  Information about the </w:t>
      </w:r>
      <w:r w:rsidRPr="00213F6F">
        <w:rPr>
          <w:rStyle w:val="il"/>
          <w:rFonts w:eastAsia="Times New Roman"/>
        </w:rPr>
        <w:t>Moses</w:t>
      </w:r>
      <w:r w:rsidRPr="00213F6F">
        <w:rPr>
          <w:rFonts w:eastAsia="Times New Roman"/>
        </w:rPr>
        <w:t xml:space="preserve"> Center can be found at </w:t>
      </w:r>
      <w:hyperlink r:id="rId9" w:tgtFrame="_blank" w:history="1">
        <w:r w:rsidRPr="00213F6F">
          <w:rPr>
            <w:rStyle w:val="Hyperlink"/>
            <w:rFonts w:eastAsia="Times New Roman"/>
            <w:color w:val="auto"/>
          </w:rPr>
          <w:t>www.nyu.edu/csd</w:t>
        </w:r>
      </w:hyperlink>
      <w:r w:rsidRPr="00213F6F">
        <w:rPr>
          <w:rFonts w:eastAsia="Times New Roman"/>
        </w:rPr>
        <w:t xml:space="preserve">. The </w:t>
      </w:r>
      <w:r w:rsidRPr="00213F6F">
        <w:rPr>
          <w:rStyle w:val="il"/>
          <w:rFonts w:eastAsia="Times New Roman"/>
        </w:rPr>
        <w:t>Moses</w:t>
      </w:r>
      <w:r w:rsidRPr="00213F6F">
        <w:rPr>
          <w:rFonts w:eastAsia="Times New Roman"/>
        </w:rPr>
        <w:t xml:space="preserve"> Center is located at 726 Broadway on the 2nd floor.</w:t>
      </w:r>
    </w:p>
    <w:p w14:paraId="2B479FA5" w14:textId="77777777" w:rsidR="0087678F" w:rsidRDefault="0087678F">
      <w:pPr>
        <w:rPr>
          <w:rFonts w:eastAsia="Times New Roman"/>
        </w:rPr>
      </w:pPr>
    </w:p>
    <w:p w14:paraId="08A6A3CE" w14:textId="02E11E8E" w:rsidR="0087678F" w:rsidRPr="0087678F" w:rsidRDefault="0087678F" w:rsidP="0087678F">
      <w:pPr>
        <w:rPr>
          <w:rFonts w:eastAsia="Times New Roman"/>
          <w:bCs/>
        </w:rPr>
      </w:pPr>
      <w:r w:rsidRPr="0087678F">
        <w:rPr>
          <w:rFonts w:eastAsia="Times New Roman"/>
          <w:b/>
          <w:bCs/>
        </w:rPr>
        <w:t>Academic integrity</w:t>
      </w:r>
    </w:p>
    <w:p w14:paraId="7BE6D226" w14:textId="77777777" w:rsidR="0087678F" w:rsidRPr="0087678F" w:rsidRDefault="0087678F" w:rsidP="0087678F">
      <w:pPr>
        <w:rPr>
          <w:rFonts w:eastAsia="Times New Roman"/>
        </w:rPr>
      </w:pPr>
      <w:r w:rsidRPr="0087678F">
        <w:rPr>
          <w:rFonts w:eastAsia="Times New Roman"/>
        </w:rPr>
        <w:t xml:space="preserve">Academic integrity is highly valued and academic dishonesty of any kind, cheating, forgery, plagiarism and collusion, is unacceptable and will not be tolerated. During exams, a student should neither give assistance to nor receive assistance from anyone and should not use any unauthorized notes or other aids. Any suspected cheating will be reported to the school, possibly resulting in course failure or school dismissal. </w:t>
      </w:r>
    </w:p>
    <w:p w14:paraId="75C45966" w14:textId="77777777" w:rsidR="0087678F" w:rsidRPr="00213F6F" w:rsidRDefault="0087678F"/>
    <w:sectPr w:rsidR="0087678F" w:rsidRPr="00213F6F" w:rsidSect="00867D11">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D2160" w14:textId="77777777" w:rsidR="00310261" w:rsidRDefault="00310261" w:rsidP="00FB129C">
      <w:r>
        <w:separator/>
      </w:r>
    </w:p>
  </w:endnote>
  <w:endnote w:type="continuationSeparator" w:id="0">
    <w:p w14:paraId="0F37EC1F" w14:textId="77777777" w:rsidR="00310261" w:rsidRDefault="00310261" w:rsidP="00FB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TimesNewRoman">
    <w:altName w:val="Cambria"/>
    <w:panose1 w:val="00000000000000000000"/>
    <w:charset w:val="00"/>
    <w:family w:val="roman"/>
    <w:notTrueType/>
    <w:pitch w:val="default"/>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D2360" w14:textId="77777777" w:rsidR="006872A5" w:rsidRDefault="006872A5" w:rsidP="00867D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B2F9A2" w14:textId="77777777" w:rsidR="006872A5" w:rsidRDefault="006872A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7AFEC" w14:textId="77777777" w:rsidR="006872A5" w:rsidRDefault="006872A5" w:rsidP="00867D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236D">
      <w:rPr>
        <w:rStyle w:val="PageNumber"/>
        <w:noProof/>
      </w:rPr>
      <w:t>4</w:t>
    </w:r>
    <w:r>
      <w:rPr>
        <w:rStyle w:val="PageNumber"/>
      </w:rPr>
      <w:fldChar w:fldCharType="end"/>
    </w:r>
  </w:p>
  <w:p w14:paraId="1274B632" w14:textId="77777777" w:rsidR="006872A5" w:rsidRDefault="006872A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D2A06" w14:textId="77777777" w:rsidR="00310261" w:rsidRDefault="00310261" w:rsidP="00FB129C">
      <w:r>
        <w:separator/>
      </w:r>
    </w:p>
  </w:footnote>
  <w:footnote w:type="continuationSeparator" w:id="0">
    <w:p w14:paraId="7CC55518" w14:textId="77777777" w:rsidR="00310261" w:rsidRDefault="00310261" w:rsidP="00FB12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C2B87"/>
    <w:multiLevelType w:val="hybridMultilevel"/>
    <w:tmpl w:val="3E42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9832F5"/>
    <w:multiLevelType w:val="hybridMultilevel"/>
    <w:tmpl w:val="BC7C75D6"/>
    <w:lvl w:ilvl="0" w:tplc="7AC66406">
      <w:start w:val="2"/>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AC2E80"/>
    <w:multiLevelType w:val="hybridMultilevel"/>
    <w:tmpl w:val="420059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FA3DE9"/>
    <w:multiLevelType w:val="hybridMultilevel"/>
    <w:tmpl w:val="9716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2609D0"/>
    <w:multiLevelType w:val="hybridMultilevel"/>
    <w:tmpl w:val="304E7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F9C7BFE"/>
    <w:multiLevelType w:val="hybridMultilevel"/>
    <w:tmpl w:val="1E82E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F10175"/>
    <w:multiLevelType w:val="hybridMultilevel"/>
    <w:tmpl w:val="4E7A0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5E2A50"/>
    <w:multiLevelType w:val="hybridMultilevel"/>
    <w:tmpl w:val="0F0C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5"/>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26"/>
    <w:rsid w:val="000204CA"/>
    <w:rsid w:val="00045328"/>
    <w:rsid w:val="00093A97"/>
    <w:rsid w:val="00114DFD"/>
    <w:rsid w:val="00117994"/>
    <w:rsid w:val="00163588"/>
    <w:rsid w:val="001637A7"/>
    <w:rsid w:val="001B63C7"/>
    <w:rsid w:val="001D1226"/>
    <w:rsid w:val="001D1F5D"/>
    <w:rsid w:val="001D7675"/>
    <w:rsid w:val="001F4C2E"/>
    <w:rsid w:val="001F7E83"/>
    <w:rsid w:val="002072C4"/>
    <w:rsid w:val="00213F6F"/>
    <w:rsid w:val="00277245"/>
    <w:rsid w:val="002856AD"/>
    <w:rsid w:val="002D55DE"/>
    <w:rsid w:val="002E1813"/>
    <w:rsid w:val="00301828"/>
    <w:rsid w:val="00310261"/>
    <w:rsid w:val="003844F0"/>
    <w:rsid w:val="003A3260"/>
    <w:rsid w:val="003D4862"/>
    <w:rsid w:val="0044061F"/>
    <w:rsid w:val="0044252C"/>
    <w:rsid w:val="00446FB8"/>
    <w:rsid w:val="004543B5"/>
    <w:rsid w:val="00465B8D"/>
    <w:rsid w:val="0048737B"/>
    <w:rsid w:val="004C0CE4"/>
    <w:rsid w:val="0054179D"/>
    <w:rsid w:val="00571AA4"/>
    <w:rsid w:val="005F3351"/>
    <w:rsid w:val="006773CF"/>
    <w:rsid w:val="00685E11"/>
    <w:rsid w:val="006872A5"/>
    <w:rsid w:val="006C058C"/>
    <w:rsid w:val="006C5945"/>
    <w:rsid w:val="006E6E0A"/>
    <w:rsid w:val="006F1625"/>
    <w:rsid w:val="0070561F"/>
    <w:rsid w:val="0075464D"/>
    <w:rsid w:val="007672C0"/>
    <w:rsid w:val="00795BB8"/>
    <w:rsid w:val="007C27CB"/>
    <w:rsid w:val="00802CD6"/>
    <w:rsid w:val="00817E9E"/>
    <w:rsid w:val="008472C9"/>
    <w:rsid w:val="00867D11"/>
    <w:rsid w:val="0087678F"/>
    <w:rsid w:val="00885C74"/>
    <w:rsid w:val="008D0D7C"/>
    <w:rsid w:val="008E6D2C"/>
    <w:rsid w:val="00951F75"/>
    <w:rsid w:val="009556CF"/>
    <w:rsid w:val="009565F8"/>
    <w:rsid w:val="009C6B17"/>
    <w:rsid w:val="009E013F"/>
    <w:rsid w:val="00A31641"/>
    <w:rsid w:val="00A9740E"/>
    <w:rsid w:val="00AB6E46"/>
    <w:rsid w:val="00B01753"/>
    <w:rsid w:val="00B14370"/>
    <w:rsid w:val="00B33F95"/>
    <w:rsid w:val="00B42AA6"/>
    <w:rsid w:val="00B730D8"/>
    <w:rsid w:val="00B90E2F"/>
    <w:rsid w:val="00BC1619"/>
    <w:rsid w:val="00BF6A64"/>
    <w:rsid w:val="00C4580C"/>
    <w:rsid w:val="00C8236D"/>
    <w:rsid w:val="00C93714"/>
    <w:rsid w:val="00CF2AE3"/>
    <w:rsid w:val="00D04D73"/>
    <w:rsid w:val="00D12F2D"/>
    <w:rsid w:val="00D3046F"/>
    <w:rsid w:val="00D51B27"/>
    <w:rsid w:val="00D539B3"/>
    <w:rsid w:val="00DC1871"/>
    <w:rsid w:val="00DE6405"/>
    <w:rsid w:val="00EE6A16"/>
    <w:rsid w:val="00F10A09"/>
    <w:rsid w:val="00F24193"/>
    <w:rsid w:val="00F251EF"/>
    <w:rsid w:val="00F4503A"/>
    <w:rsid w:val="00F64241"/>
    <w:rsid w:val="00FB129C"/>
    <w:rsid w:val="00FE0F9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2A01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4C2E"/>
    <w:rPr>
      <w:rFonts w:ascii="Times New Roman" w:hAnsi="Times New Roman" w:cs="Times New Roman"/>
      <w:lang w:eastAsia="en-US"/>
    </w:rPr>
  </w:style>
  <w:style w:type="paragraph" w:styleId="Heading1">
    <w:name w:val="heading 1"/>
    <w:basedOn w:val="Normal"/>
    <w:next w:val="Normal"/>
    <w:link w:val="Heading1Char"/>
    <w:uiPriority w:val="9"/>
    <w:qFormat/>
    <w:rsid w:val="006872A5"/>
    <w:pPr>
      <w:keepNext/>
      <w:keepLines/>
      <w:spacing w:before="480"/>
      <w:outlineLvl w:val="0"/>
    </w:pPr>
    <w:rPr>
      <w:rFonts w:asciiTheme="majorHAnsi" w:eastAsiaTheme="majorEastAsia" w:hAnsiTheme="majorHAnsi" w:cstheme="majorBidi"/>
      <w:b/>
      <w:bCs/>
      <w:color w:val="345A8A" w:themeColor="accent1" w:themeShade="B5"/>
      <w:sz w:val="32"/>
      <w:szCs w:val="32"/>
      <w:lang w:eastAsia="ja-JP"/>
    </w:rPr>
  </w:style>
  <w:style w:type="paragraph" w:styleId="Heading3">
    <w:name w:val="heading 3"/>
    <w:basedOn w:val="Normal"/>
    <w:next w:val="Normal"/>
    <w:link w:val="Heading3Char"/>
    <w:uiPriority w:val="9"/>
    <w:semiHidden/>
    <w:unhideWhenUsed/>
    <w:qFormat/>
    <w:rsid w:val="006872A5"/>
    <w:pPr>
      <w:keepNext/>
      <w:keepLines/>
      <w:spacing w:before="200"/>
      <w:outlineLvl w:val="2"/>
    </w:pPr>
    <w:rPr>
      <w:rFonts w:asciiTheme="majorHAnsi" w:eastAsiaTheme="majorEastAsia" w:hAnsiTheme="majorHAnsi" w:cstheme="majorBidi"/>
      <w:b/>
      <w:bCs/>
      <w:color w:val="4F81BD" w:themeColor="accent1"/>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251EF"/>
  </w:style>
  <w:style w:type="character" w:styleId="Hyperlink">
    <w:name w:val="Hyperlink"/>
    <w:basedOn w:val="DefaultParagraphFont"/>
    <w:uiPriority w:val="99"/>
    <w:unhideWhenUsed/>
    <w:rsid w:val="00F251EF"/>
    <w:rPr>
      <w:color w:val="0000FF"/>
      <w:u w:val="single"/>
    </w:rPr>
  </w:style>
  <w:style w:type="paragraph" w:styleId="Footer">
    <w:name w:val="footer"/>
    <w:basedOn w:val="Normal"/>
    <w:link w:val="FooterChar"/>
    <w:uiPriority w:val="99"/>
    <w:unhideWhenUsed/>
    <w:rsid w:val="00FB129C"/>
    <w:pPr>
      <w:tabs>
        <w:tab w:val="center" w:pos="4320"/>
        <w:tab w:val="right" w:pos="8640"/>
      </w:tabs>
    </w:pPr>
    <w:rPr>
      <w:rFonts w:asciiTheme="minorHAnsi" w:hAnsiTheme="minorHAnsi" w:cstheme="minorBidi"/>
      <w:lang w:eastAsia="ja-JP"/>
    </w:rPr>
  </w:style>
  <w:style w:type="character" w:customStyle="1" w:styleId="FooterChar">
    <w:name w:val="Footer Char"/>
    <w:basedOn w:val="DefaultParagraphFont"/>
    <w:link w:val="Footer"/>
    <w:uiPriority w:val="99"/>
    <w:rsid w:val="00FB129C"/>
  </w:style>
  <w:style w:type="character" w:styleId="PageNumber">
    <w:name w:val="page number"/>
    <w:basedOn w:val="DefaultParagraphFont"/>
    <w:uiPriority w:val="99"/>
    <w:semiHidden/>
    <w:unhideWhenUsed/>
    <w:rsid w:val="00FB129C"/>
  </w:style>
  <w:style w:type="paragraph" w:styleId="ListParagraph">
    <w:name w:val="List Paragraph"/>
    <w:basedOn w:val="Normal"/>
    <w:uiPriority w:val="34"/>
    <w:qFormat/>
    <w:rsid w:val="00F10A09"/>
    <w:pPr>
      <w:ind w:left="720"/>
      <w:contextualSpacing/>
    </w:pPr>
    <w:rPr>
      <w:rFonts w:asciiTheme="minorHAnsi" w:hAnsiTheme="minorHAnsi" w:cstheme="minorBidi"/>
      <w:lang w:eastAsia="ja-JP"/>
    </w:rPr>
  </w:style>
  <w:style w:type="character" w:customStyle="1" w:styleId="Heading1Char">
    <w:name w:val="Heading 1 Char"/>
    <w:basedOn w:val="DefaultParagraphFont"/>
    <w:link w:val="Heading1"/>
    <w:uiPriority w:val="9"/>
    <w:rsid w:val="006872A5"/>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6872A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6310">
      <w:bodyDiv w:val="1"/>
      <w:marLeft w:val="0"/>
      <w:marRight w:val="0"/>
      <w:marTop w:val="0"/>
      <w:marBottom w:val="0"/>
      <w:divBdr>
        <w:top w:val="none" w:sz="0" w:space="0" w:color="auto"/>
        <w:left w:val="none" w:sz="0" w:space="0" w:color="auto"/>
        <w:bottom w:val="none" w:sz="0" w:space="0" w:color="auto"/>
        <w:right w:val="none" w:sz="0" w:space="0" w:color="auto"/>
      </w:divBdr>
    </w:div>
    <w:div w:id="197746465">
      <w:bodyDiv w:val="1"/>
      <w:marLeft w:val="0"/>
      <w:marRight w:val="0"/>
      <w:marTop w:val="0"/>
      <w:marBottom w:val="0"/>
      <w:divBdr>
        <w:top w:val="none" w:sz="0" w:space="0" w:color="auto"/>
        <w:left w:val="none" w:sz="0" w:space="0" w:color="auto"/>
        <w:bottom w:val="none" w:sz="0" w:space="0" w:color="auto"/>
        <w:right w:val="none" w:sz="0" w:space="0" w:color="auto"/>
      </w:divBdr>
    </w:div>
    <w:div w:id="267279252">
      <w:bodyDiv w:val="1"/>
      <w:marLeft w:val="0"/>
      <w:marRight w:val="0"/>
      <w:marTop w:val="0"/>
      <w:marBottom w:val="0"/>
      <w:divBdr>
        <w:top w:val="none" w:sz="0" w:space="0" w:color="auto"/>
        <w:left w:val="none" w:sz="0" w:space="0" w:color="auto"/>
        <w:bottom w:val="none" w:sz="0" w:space="0" w:color="auto"/>
        <w:right w:val="none" w:sz="0" w:space="0" w:color="auto"/>
      </w:divBdr>
    </w:div>
    <w:div w:id="369766959">
      <w:bodyDiv w:val="1"/>
      <w:marLeft w:val="0"/>
      <w:marRight w:val="0"/>
      <w:marTop w:val="0"/>
      <w:marBottom w:val="0"/>
      <w:divBdr>
        <w:top w:val="none" w:sz="0" w:space="0" w:color="auto"/>
        <w:left w:val="none" w:sz="0" w:space="0" w:color="auto"/>
        <w:bottom w:val="none" w:sz="0" w:space="0" w:color="auto"/>
        <w:right w:val="none" w:sz="0" w:space="0" w:color="auto"/>
      </w:divBdr>
    </w:div>
    <w:div w:id="568347332">
      <w:bodyDiv w:val="1"/>
      <w:marLeft w:val="0"/>
      <w:marRight w:val="0"/>
      <w:marTop w:val="0"/>
      <w:marBottom w:val="0"/>
      <w:divBdr>
        <w:top w:val="none" w:sz="0" w:space="0" w:color="auto"/>
        <w:left w:val="none" w:sz="0" w:space="0" w:color="auto"/>
        <w:bottom w:val="none" w:sz="0" w:space="0" w:color="auto"/>
        <w:right w:val="none" w:sz="0" w:space="0" w:color="auto"/>
      </w:divBdr>
    </w:div>
    <w:div w:id="607929866">
      <w:bodyDiv w:val="1"/>
      <w:marLeft w:val="0"/>
      <w:marRight w:val="0"/>
      <w:marTop w:val="0"/>
      <w:marBottom w:val="0"/>
      <w:divBdr>
        <w:top w:val="none" w:sz="0" w:space="0" w:color="auto"/>
        <w:left w:val="none" w:sz="0" w:space="0" w:color="auto"/>
        <w:bottom w:val="none" w:sz="0" w:space="0" w:color="auto"/>
        <w:right w:val="none" w:sz="0" w:space="0" w:color="auto"/>
      </w:divBdr>
    </w:div>
    <w:div w:id="713195374">
      <w:bodyDiv w:val="1"/>
      <w:marLeft w:val="0"/>
      <w:marRight w:val="0"/>
      <w:marTop w:val="0"/>
      <w:marBottom w:val="0"/>
      <w:divBdr>
        <w:top w:val="none" w:sz="0" w:space="0" w:color="auto"/>
        <w:left w:val="none" w:sz="0" w:space="0" w:color="auto"/>
        <w:bottom w:val="none" w:sz="0" w:space="0" w:color="auto"/>
        <w:right w:val="none" w:sz="0" w:space="0" w:color="auto"/>
      </w:divBdr>
    </w:div>
    <w:div w:id="756830973">
      <w:bodyDiv w:val="1"/>
      <w:marLeft w:val="0"/>
      <w:marRight w:val="0"/>
      <w:marTop w:val="0"/>
      <w:marBottom w:val="0"/>
      <w:divBdr>
        <w:top w:val="none" w:sz="0" w:space="0" w:color="auto"/>
        <w:left w:val="none" w:sz="0" w:space="0" w:color="auto"/>
        <w:bottom w:val="none" w:sz="0" w:space="0" w:color="auto"/>
        <w:right w:val="none" w:sz="0" w:space="0" w:color="auto"/>
      </w:divBdr>
    </w:div>
    <w:div w:id="961229171">
      <w:bodyDiv w:val="1"/>
      <w:marLeft w:val="0"/>
      <w:marRight w:val="0"/>
      <w:marTop w:val="0"/>
      <w:marBottom w:val="0"/>
      <w:divBdr>
        <w:top w:val="none" w:sz="0" w:space="0" w:color="auto"/>
        <w:left w:val="none" w:sz="0" w:space="0" w:color="auto"/>
        <w:bottom w:val="none" w:sz="0" w:space="0" w:color="auto"/>
        <w:right w:val="none" w:sz="0" w:space="0" w:color="auto"/>
      </w:divBdr>
    </w:div>
    <w:div w:id="1059062127">
      <w:bodyDiv w:val="1"/>
      <w:marLeft w:val="0"/>
      <w:marRight w:val="0"/>
      <w:marTop w:val="0"/>
      <w:marBottom w:val="0"/>
      <w:divBdr>
        <w:top w:val="none" w:sz="0" w:space="0" w:color="auto"/>
        <w:left w:val="none" w:sz="0" w:space="0" w:color="auto"/>
        <w:bottom w:val="none" w:sz="0" w:space="0" w:color="auto"/>
        <w:right w:val="none" w:sz="0" w:space="0" w:color="auto"/>
      </w:divBdr>
    </w:div>
    <w:div w:id="1072046473">
      <w:bodyDiv w:val="1"/>
      <w:marLeft w:val="0"/>
      <w:marRight w:val="0"/>
      <w:marTop w:val="0"/>
      <w:marBottom w:val="0"/>
      <w:divBdr>
        <w:top w:val="none" w:sz="0" w:space="0" w:color="auto"/>
        <w:left w:val="none" w:sz="0" w:space="0" w:color="auto"/>
        <w:bottom w:val="none" w:sz="0" w:space="0" w:color="auto"/>
        <w:right w:val="none" w:sz="0" w:space="0" w:color="auto"/>
      </w:divBdr>
    </w:div>
    <w:div w:id="1094714372">
      <w:bodyDiv w:val="1"/>
      <w:marLeft w:val="0"/>
      <w:marRight w:val="0"/>
      <w:marTop w:val="0"/>
      <w:marBottom w:val="0"/>
      <w:divBdr>
        <w:top w:val="none" w:sz="0" w:space="0" w:color="auto"/>
        <w:left w:val="none" w:sz="0" w:space="0" w:color="auto"/>
        <w:bottom w:val="none" w:sz="0" w:space="0" w:color="auto"/>
        <w:right w:val="none" w:sz="0" w:space="0" w:color="auto"/>
      </w:divBdr>
    </w:div>
    <w:div w:id="1121268177">
      <w:bodyDiv w:val="1"/>
      <w:marLeft w:val="0"/>
      <w:marRight w:val="0"/>
      <w:marTop w:val="0"/>
      <w:marBottom w:val="0"/>
      <w:divBdr>
        <w:top w:val="none" w:sz="0" w:space="0" w:color="auto"/>
        <w:left w:val="none" w:sz="0" w:space="0" w:color="auto"/>
        <w:bottom w:val="none" w:sz="0" w:space="0" w:color="auto"/>
        <w:right w:val="none" w:sz="0" w:space="0" w:color="auto"/>
      </w:divBdr>
    </w:div>
    <w:div w:id="1303578181">
      <w:bodyDiv w:val="1"/>
      <w:marLeft w:val="0"/>
      <w:marRight w:val="0"/>
      <w:marTop w:val="0"/>
      <w:marBottom w:val="0"/>
      <w:divBdr>
        <w:top w:val="none" w:sz="0" w:space="0" w:color="auto"/>
        <w:left w:val="none" w:sz="0" w:space="0" w:color="auto"/>
        <w:bottom w:val="none" w:sz="0" w:space="0" w:color="auto"/>
        <w:right w:val="none" w:sz="0" w:space="0" w:color="auto"/>
      </w:divBdr>
    </w:div>
    <w:div w:id="1544126041">
      <w:bodyDiv w:val="1"/>
      <w:marLeft w:val="0"/>
      <w:marRight w:val="0"/>
      <w:marTop w:val="0"/>
      <w:marBottom w:val="0"/>
      <w:divBdr>
        <w:top w:val="none" w:sz="0" w:space="0" w:color="auto"/>
        <w:left w:val="none" w:sz="0" w:space="0" w:color="auto"/>
        <w:bottom w:val="none" w:sz="0" w:space="0" w:color="auto"/>
        <w:right w:val="none" w:sz="0" w:space="0" w:color="auto"/>
      </w:divBdr>
    </w:div>
    <w:div w:id="1546328802">
      <w:bodyDiv w:val="1"/>
      <w:marLeft w:val="0"/>
      <w:marRight w:val="0"/>
      <w:marTop w:val="0"/>
      <w:marBottom w:val="0"/>
      <w:divBdr>
        <w:top w:val="none" w:sz="0" w:space="0" w:color="auto"/>
        <w:left w:val="none" w:sz="0" w:space="0" w:color="auto"/>
        <w:bottom w:val="none" w:sz="0" w:space="0" w:color="auto"/>
        <w:right w:val="none" w:sz="0" w:space="0" w:color="auto"/>
      </w:divBdr>
    </w:div>
    <w:div w:id="1565139466">
      <w:bodyDiv w:val="1"/>
      <w:marLeft w:val="0"/>
      <w:marRight w:val="0"/>
      <w:marTop w:val="0"/>
      <w:marBottom w:val="0"/>
      <w:divBdr>
        <w:top w:val="none" w:sz="0" w:space="0" w:color="auto"/>
        <w:left w:val="none" w:sz="0" w:space="0" w:color="auto"/>
        <w:bottom w:val="none" w:sz="0" w:space="0" w:color="auto"/>
        <w:right w:val="none" w:sz="0" w:space="0" w:color="auto"/>
      </w:divBdr>
    </w:div>
    <w:div w:id="1688099892">
      <w:bodyDiv w:val="1"/>
      <w:marLeft w:val="0"/>
      <w:marRight w:val="0"/>
      <w:marTop w:val="0"/>
      <w:marBottom w:val="0"/>
      <w:divBdr>
        <w:top w:val="none" w:sz="0" w:space="0" w:color="auto"/>
        <w:left w:val="none" w:sz="0" w:space="0" w:color="auto"/>
        <w:bottom w:val="none" w:sz="0" w:space="0" w:color="auto"/>
        <w:right w:val="none" w:sz="0" w:space="0" w:color="auto"/>
      </w:divBdr>
    </w:div>
    <w:div w:id="1775707293">
      <w:bodyDiv w:val="1"/>
      <w:marLeft w:val="0"/>
      <w:marRight w:val="0"/>
      <w:marTop w:val="0"/>
      <w:marBottom w:val="0"/>
      <w:divBdr>
        <w:top w:val="none" w:sz="0" w:space="0" w:color="auto"/>
        <w:left w:val="none" w:sz="0" w:space="0" w:color="auto"/>
        <w:bottom w:val="none" w:sz="0" w:space="0" w:color="auto"/>
        <w:right w:val="none" w:sz="0" w:space="0" w:color="auto"/>
      </w:divBdr>
    </w:div>
    <w:div w:id="1872717621">
      <w:bodyDiv w:val="1"/>
      <w:marLeft w:val="0"/>
      <w:marRight w:val="0"/>
      <w:marTop w:val="0"/>
      <w:marBottom w:val="0"/>
      <w:divBdr>
        <w:top w:val="none" w:sz="0" w:space="0" w:color="auto"/>
        <w:left w:val="none" w:sz="0" w:space="0" w:color="auto"/>
        <w:bottom w:val="none" w:sz="0" w:space="0" w:color="auto"/>
        <w:right w:val="none" w:sz="0" w:space="0" w:color="auto"/>
      </w:divBdr>
    </w:div>
    <w:div w:id="1911387228">
      <w:bodyDiv w:val="1"/>
      <w:marLeft w:val="0"/>
      <w:marRight w:val="0"/>
      <w:marTop w:val="0"/>
      <w:marBottom w:val="0"/>
      <w:divBdr>
        <w:top w:val="none" w:sz="0" w:space="0" w:color="auto"/>
        <w:left w:val="none" w:sz="0" w:space="0" w:color="auto"/>
        <w:bottom w:val="none" w:sz="0" w:space="0" w:color="auto"/>
        <w:right w:val="none" w:sz="0" w:space="0" w:color="auto"/>
      </w:divBdr>
    </w:div>
    <w:div w:id="20183830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tel:212-998-4980" TargetMode="External"/><Relationship Id="rId8" Type="http://schemas.openxmlformats.org/officeDocument/2006/relationships/hyperlink" Target="mailto:mosescsd@nyu.edu" TargetMode="External"/><Relationship Id="rId9" Type="http://schemas.openxmlformats.org/officeDocument/2006/relationships/hyperlink" Target="http://www.nyu.edu/csd"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877</Words>
  <Characters>5005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Polytechnic Institute of NYU</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Day</dc:creator>
  <cp:keywords/>
  <cp:lastModifiedBy>Microsoft Office User</cp:lastModifiedBy>
  <cp:revision>3</cp:revision>
  <cp:lastPrinted>2018-11-16T05:01:00Z</cp:lastPrinted>
  <dcterms:created xsi:type="dcterms:W3CDTF">2018-11-16T05:01:00Z</dcterms:created>
  <dcterms:modified xsi:type="dcterms:W3CDTF">2018-11-16T05:16:00Z</dcterms:modified>
</cp:coreProperties>
</file>